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65" w:rsidRPr="00900EC0" w:rsidRDefault="00900EC0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40"/>
          <w:szCs w:val="36"/>
        </w:rPr>
      </w:pPr>
      <w:r w:rsidRPr="00900EC0">
        <w:rPr>
          <w:rFonts w:ascii="方正小标宋简体" w:eastAsia="方正小标宋简体" w:hAnsi="Times New Roman" w:cs="Times New Roman" w:hint="eastAsia"/>
          <w:sz w:val="40"/>
          <w:szCs w:val="36"/>
        </w:rPr>
        <w:t>客家风味点心制作专项职业能力考核规范</w:t>
      </w:r>
    </w:p>
    <w:p w:rsidR="00161965" w:rsidRDefault="00161965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:rsidR="00161965" w:rsidRPr="00900EC0" w:rsidRDefault="00900EC0" w:rsidP="00900EC0">
      <w:pPr>
        <w:spacing w:line="560" w:lineRule="exact"/>
        <w:ind w:firstLineChars="200" w:firstLine="640"/>
        <w:rPr>
          <w:rFonts w:ascii="方正黑体简体" w:eastAsia="方正黑体简体" w:hAnsi="Times New Roman" w:cs="Times New Roman" w:hint="eastAsia"/>
          <w:sz w:val="32"/>
          <w:szCs w:val="32"/>
        </w:rPr>
      </w:pPr>
      <w:r w:rsidRPr="00900EC0">
        <w:rPr>
          <w:rFonts w:ascii="方正黑体简体" w:eastAsia="方正黑体简体" w:hAnsi="Times New Roman" w:cs="Times New Roman" w:hint="eastAsia"/>
          <w:sz w:val="32"/>
          <w:szCs w:val="32"/>
        </w:rPr>
        <w:t>一、定义</w:t>
      </w:r>
    </w:p>
    <w:p w:rsidR="00161965" w:rsidRPr="00900EC0" w:rsidRDefault="00900EC0">
      <w:pPr>
        <w:spacing w:line="560" w:lineRule="exact"/>
        <w:ind w:firstLineChars="200" w:firstLine="640"/>
        <w:rPr>
          <w:rFonts w:ascii="方正仿宋简体" w:eastAsia="方正仿宋简体" w:hAnsi="Times New Roman" w:cs="Times New Roman" w:hint="eastAsia"/>
          <w:bCs/>
          <w:sz w:val="32"/>
          <w:szCs w:val="32"/>
        </w:rPr>
      </w:pPr>
      <w:r w:rsidRPr="00900EC0">
        <w:rPr>
          <w:rFonts w:ascii="方正仿宋简体" w:eastAsia="方正仿宋简体" w:hAnsi="Times New Roman" w:cs="Times New Roman" w:hint="eastAsia"/>
          <w:bCs/>
          <w:sz w:val="32"/>
          <w:szCs w:val="32"/>
        </w:rPr>
        <w:t>运用客家点心制作工艺对原料进行加工，制</w:t>
      </w:r>
      <w:r w:rsidRPr="00900EC0">
        <w:rPr>
          <w:rFonts w:ascii="方正仿宋简体" w:eastAsia="方正仿宋简体" w:hAnsi="Times New Roman" w:cs="Times New Roman" w:hint="eastAsia"/>
          <w:bCs/>
          <w:sz w:val="32"/>
          <w:szCs w:val="32"/>
        </w:rPr>
        <w:t>作</w:t>
      </w:r>
      <w:r w:rsidRPr="00900EC0">
        <w:rPr>
          <w:rFonts w:ascii="方正仿宋简体" w:eastAsia="方正仿宋简体" w:hAnsi="Times New Roman" w:cs="Times New Roman" w:hint="eastAsia"/>
          <w:bCs/>
          <w:sz w:val="32"/>
          <w:szCs w:val="32"/>
        </w:rPr>
        <w:t>具有广东岭南</w:t>
      </w:r>
      <w:r w:rsidRPr="00900EC0">
        <w:rPr>
          <w:rFonts w:ascii="方正仿宋简体" w:eastAsia="方正仿宋简体" w:hAnsi="Times New Roman" w:cs="Times New Roman" w:hint="eastAsia"/>
          <w:bCs/>
          <w:sz w:val="32"/>
          <w:szCs w:val="32"/>
        </w:rPr>
        <w:t>饮食</w:t>
      </w:r>
      <w:r w:rsidRPr="00900EC0">
        <w:rPr>
          <w:rFonts w:ascii="方正仿宋简体" w:eastAsia="方正仿宋简体" w:hAnsi="Times New Roman" w:cs="Times New Roman" w:hint="eastAsia"/>
          <w:bCs/>
          <w:sz w:val="32"/>
          <w:szCs w:val="32"/>
        </w:rPr>
        <w:t>文化与客家传统地方风味特色点心、小吃的能力。</w:t>
      </w:r>
    </w:p>
    <w:p w:rsidR="00161965" w:rsidRPr="00900EC0" w:rsidRDefault="00900EC0" w:rsidP="00900EC0">
      <w:pPr>
        <w:spacing w:line="560" w:lineRule="exact"/>
        <w:ind w:firstLineChars="200" w:firstLine="640"/>
        <w:rPr>
          <w:rFonts w:ascii="方正黑体简体" w:eastAsia="方正黑体简体" w:hAnsi="Times New Roman" w:cs="Times New Roman"/>
          <w:sz w:val="32"/>
          <w:szCs w:val="32"/>
        </w:rPr>
      </w:pPr>
      <w:r w:rsidRPr="00900EC0">
        <w:rPr>
          <w:rFonts w:ascii="方正黑体简体" w:eastAsia="方正黑体简体" w:hAnsi="Times New Roman" w:cs="Times New Roman"/>
          <w:sz w:val="32"/>
          <w:szCs w:val="32"/>
        </w:rPr>
        <w:t>二</w:t>
      </w:r>
      <w:r w:rsidRPr="00900EC0">
        <w:rPr>
          <w:rFonts w:ascii="方正黑体简体" w:eastAsia="方正黑体简体" w:hAnsi="Times New Roman" w:cs="Times New Roman"/>
          <w:sz w:val="32"/>
          <w:szCs w:val="32"/>
        </w:rPr>
        <w:t>、</w:t>
      </w:r>
      <w:r w:rsidRPr="00900EC0">
        <w:rPr>
          <w:rFonts w:ascii="方正黑体简体" w:eastAsia="方正黑体简体" w:hAnsi="Times New Roman" w:cs="Times New Roman"/>
          <w:sz w:val="32"/>
          <w:szCs w:val="32"/>
        </w:rPr>
        <w:t>适用对象</w:t>
      </w:r>
    </w:p>
    <w:p w:rsidR="00161965" w:rsidRPr="00900EC0" w:rsidRDefault="00900EC0" w:rsidP="00900EC0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32"/>
        </w:rPr>
      </w:pP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运用或准备运用本项能力求职、就业人员，或者具有擅长制作客家特色</w:t>
      </w: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点心、小吃</w:t>
      </w: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的人员。</w:t>
      </w:r>
    </w:p>
    <w:p w:rsidR="00161965" w:rsidRPr="00900EC0" w:rsidRDefault="00900EC0" w:rsidP="00900EC0">
      <w:pPr>
        <w:spacing w:line="560" w:lineRule="exact"/>
        <w:ind w:firstLineChars="200" w:firstLine="640"/>
        <w:rPr>
          <w:rFonts w:ascii="方正黑体简体" w:eastAsia="方正黑体简体" w:hAnsi="Times New Roman" w:cs="Times New Roman"/>
          <w:sz w:val="32"/>
          <w:szCs w:val="32"/>
        </w:rPr>
      </w:pPr>
      <w:bookmarkStart w:id="0" w:name="_GoBack"/>
      <w:bookmarkEnd w:id="0"/>
      <w:r w:rsidRPr="00900EC0">
        <w:rPr>
          <w:rFonts w:ascii="方正黑体简体" w:eastAsia="方正黑体简体" w:hAnsi="Times New Roman" w:cs="Times New Roman"/>
          <w:sz w:val="32"/>
          <w:szCs w:val="32"/>
        </w:rPr>
        <w:t>三、能力标准和鉴定的内容</w:t>
      </w:r>
    </w:p>
    <w:tbl>
      <w:tblPr>
        <w:tblW w:w="8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3276"/>
        <w:gridCol w:w="3234"/>
        <w:gridCol w:w="840"/>
      </w:tblGrid>
      <w:tr w:rsidR="00161965">
        <w:trPr>
          <w:trHeight w:val="378"/>
        </w:trPr>
        <w:tc>
          <w:tcPr>
            <w:tcW w:w="8610" w:type="dxa"/>
            <w:gridSpan w:val="4"/>
            <w:vAlign w:val="center"/>
          </w:tcPr>
          <w:p w:rsidR="00161965" w:rsidRPr="00900EC0" w:rsidRDefault="00900EC0">
            <w:pPr>
              <w:autoSpaceDE w:val="0"/>
              <w:autoSpaceDN w:val="0"/>
              <w:adjustRightInd w:val="0"/>
              <w:spacing w:line="480" w:lineRule="exact"/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</w:pPr>
            <w:r w:rsidRPr="00900EC0"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  <w:t>能力名称：客家风味点心制作</w:t>
            </w:r>
            <w:r w:rsidRPr="00900EC0"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  <w:t xml:space="preserve">              </w:t>
            </w:r>
            <w:r w:rsidRPr="00900EC0"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  <w:t>职业领域：中式面点</w:t>
            </w:r>
          </w:p>
        </w:tc>
      </w:tr>
      <w:tr w:rsidR="00161965">
        <w:trPr>
          <w:trHeight w:val="824"/>
        </w:trPr>
        <w:tc>
          <w:tcPr>
            <w:tcW w:w="1260" w:type="dxa"/>
            <w:vAlign w:val="center"/>
          </w:tcPr>
          <w:p w:rsidR="00161965" w:rsidRPr="00900EC0" w:rsidRDefault="00900EC0">
            <w:pPr>
              <w:autoSpaceDE w:val="0"/>
              <w:autoSpaceDN w:val="0"/>
              <w:adjustRightInd w:val="0"/>
              <w:jc w:val="center"/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</w:pPr>
            <w:r w:rsidRPr="00900EC0"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  <w:t>工作任务</w:t>
            </w:r>
          </w:p>
        </w:tc>
        <w:tc>
          <w:tcPr>
            <w:tcW w:w="3276" w:type="dxa"/>
            <w:vAlign w:val="center"/>
          </w:tcPr>
          <w:p w:rsidR="00161965" w:rsidRPr="00900EC0" w:rsidRDefault="00900EC0">
            <w:pPr>
              <w:autoSpaceDE w:val="0"/>
              <w:autoSpaceDN w:val="0"/>
              <w:adjustRightInd w:val="0"/>
              <w:jc w:val="center"/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</w:pPr>
            <w:r w:rsidRPr="00900EC0"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  <w:t>操作规范</w:t>
            </w:r>
          </w:p>
        </w:tc>
        <w:tc>
          <w:tcPr>
            <w:tcW w:w="3234" w:type="dxa"/>
            <w:vAlign w:val="center"/>
          </w:tcPr>
          <w:p w:rsidR="00161965" w:rsidRPr="00900EC0" w:rsidRDefault="00900EC0">
            <w:pPr>
              <w:autoSpaceDE w:val="0"/>
              <w:autoSpaceDN w:val="0"/>
              <w:adjustRightInd w:val="0"/>
              <w:jc w:val="center"/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</w:pPr>
            <w:r w:rsidRPr="00900EC0"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  <w:t>相关知识</w:t>
            </w:r>
          </w:p>
        </w:tc>
        <w:tc>
          <w:tcPr>
            <w:tcW w:w="840" w:type="dxa"/>
            <w:vAlign w:val="center"/>
          </w:tcPr>
          <w:p w:rsidR="00161965" w:rsidRPr="00900EC0" w:rsidRDefault="00900EC0">
            <w:pPr>
              <w:autoSpaceDE w:val="0"/>
              <w:autoSpaceDN w:val="0"/>
              <w:adjustRightInd w:val="0"/>
              <w:jc w:val="center"/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</w:pPr>
            <w:r w:rsidRPr="00900EC0"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  <w:t>考核</w:t>
            </w:r>
          </w:p>
          <w:p w:rsidR="00161965" w:rsidRPr="00900EC0" w:rsidRDefault="00900EC0">
            <w:pPr>
              <w:autoSpaceDE w:val="0"/>
              <w:autoSpaceDN w:val="0"/>
              <w:adjustRightInd w:val="0"/>
              <w:jc w:val="center"/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</w:pPr>
            <w:r w:rsidRPr="00900EC0"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  <w:t>比重</w:t>
            </w:r>
          </w:p>
        </w:tc>
      </w:tr>
      <w:tr w:rsidR="00161965">
        <w:trPr>
          <w:trHeight w:val="3172"/>
        </w:trPr>
        <w:tc>
          <w:tcPr>
            <w:tcW w:w="1260" w:type="dxa"/>
            <w:vAlign w:val="center"/>
          </w:tcPr>
          <w:p w:rsidR="00161965" w:rsidRPr="00900EC0" w:rsidRDefault="00900EC0" w:rsidP="00900EC0">
            <w:pPr>
              <w:spacing w:line="260" w:lineRule="exact"/>
              <w:jc w:val="center"/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</w:pPr>
            <w:r w:rsidRPr="00900EC0">
              <w:rPr>
                <w:rFonts w:ascii="方正楷体简体" w:eastAsia="方正楷体简体" w:hAnsi="Times New Roman" w:cs="Times New Roman" w:hint="eastAsia"/>
                <w:b/>
                <w:bCs/>
                <w:sz w:val="24"/>
              </w:rPr>
              <w:t>（一）</w:t>
            </w:r>
          </w:p>
          <w:p w:rsidR="00161965" w:rsidRDefault="00900EC0" w:rsidP="00900EC0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900EC0">
              <w:rPr>
                <w:rFonts w:ascii="方正楷体简体" w:eastAsia="方正楷体简体" w:hAnsi="Times New Roman" w:cs="Times New Roman" w:hint="eastAsia"/>
                <w:b/>
                <w:kern w:val="1"/>
                <w:sz w:val="24"/>
              </w:rPr>
              <w:t>操作、安全与卫生</w:t>
            </w:r>
          </w:p>
        </w:tc>
        <w:tc>
          <w:tcPr>
            <w:tcW w:w="3276" w:type="dxa"/>
            <w:vAlign w:val="center"/>
          </w:tcPr>
          <w:p w:rsidR="00161965" w:rsidRDefault="00900EC0">
            <w:pPr>
              <w:rPr>
                <w:rFonts w:ascii="Times New Roman" w:eastAsia="仿宋" w:hAnsi="Times New Roman" w:cs="Times New Roman"/>
                <w:kern w:val="1"/>
                <w:sz w:val="24"/>
              </w:rPr>
            </w:pPr>
            <w:r>
              <w:rPr>
                <w:rFonts w:ascii="Times New Roman" w:eastAsia="仿宋" w:hAnsi="Times New Roman" w:cs="Times New Roman"/>
                <w:kern w:val="1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kern w:val="1"/>
                <w:sz w:val="24"/>
              </w:rPr>
              <w:t>操作娴熟，工艺程序、步骤恰当，没有较大或原则性差错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kern w:val="1"/>
                <w:sz w:val="24"/>
              </w:rPr>
            </w:pPr>
            <w:r>
              <w:rPr>
                <w:rFonts w:ascii="Times New Roman" w:eastAsia="仿宋" w:hAnsi="Times New Roman" w:cs="Times New Roman"/>
                <w:kern w:val="1"/>
                <w:sz w:val="24"/>
              </w:rPr>
              <w:t>2.</w:t>
            </w:r>
            <w:r>
              <w:rPr>
                <w:rFonts w:ascii="Times New Roman" w:eastAsia="仿宋" w:hAnsi="Times New Roman" w:cs="Times New Roman"/>
                <w:kern w:val="1"/>
                <w:sz w:val="24"/>
              </w:rPr>
              <w:t>掌握烹饪设备的安全操作方法，有良好的操作习惯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1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kern w:val="1"/>
                <w:sz w:val="24"/>
              </w:rPr>
              <w:t>注重操作和食品卫生、符合食品卫生要求。有良好的卫生习惯</w:t>
            </w:r>
          </w:p>
        </w:tc>
        <w:tc>
          <w:tcPr>
            <w:tcW w:w="3234" w:type="dxa"/>
            <w:vAlign w:val="center"/>
          </w:tcPr>
          <w:p w:rsidR="00161965" w:rsidRDefault="00900EC0">
            <w:pPr>
              <w:rPr>
                <w:rFonts w:ascii="Times New Roman" w:eastAsia="仿宋" w:hAnsi="Times New Roman" w:cs="Times New Roman"/>
                <w:kern w:val="1"/>
                <w:sz w:val="24"/>
              </w:rPr>
            </w:pPr>
            <w:r>
              <w:rPr>
                <w:rFonts w:ascii="Times New Roman" w:eastAsia="仿宋" w:hAnsi="Times New Roman" w:cs="Times New Roman"/>
                <w:kern w:val="1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kern w:val="1"/>
                <w:sz w:val="24"/>
              </w:rPr>
              <w:t>原料加工、</w:t>
            </w:r>
            <w:r>
              <w:rPr>
                <w:rFonts w:ascii="Times New Roman" w:eastAsia="仿宋" w:hAnsi="Times New Roman" w:cs="Times New Roman"/>
                <w:kern w:val="1"/>
                <w:sz w:val="24"/>
              </w:rPr>
              <w:t>点心制作</w:t>
            </w:r>
            <w:r>
              <w:rPr>
                <w:rFonts w:ascii="Times New Roman" w:eastAsia="仿宋" w:hAnsi="Times New Roman" w:cs="Times New Roman"/>
                <w:kern w:val="1"/>
                <w:sz w:val="24"/>
              </w:rPr>
              <w:t>的工艺环节、工艺程序等知识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kern w:val="1"/>
                <w:sz w:val="24"/>
              </w:rPr>
            </w:pPr>
            <w:r>
              <w:rPr>
                <w:rFonts w:ascii="Times New Roman" w:eastAsia="仿宋" w:hAnsi="Times New Roman" w:cs="Times New Roman"/>
                <w:kern w:val="1"/>
                <w:sz w:val="24"/>
              </w:rPr>
              <w:t>2.</w:t>
            </w:r>
            <w:r>
              <w:rPr>
                <w:rFonts w:ascii="Times New Roman" w:eastAsia="仿宋" w:hAnsi="Times New Roman" w:cs="Times New Roman"/>
                <w:kern w:val="1"/>
                <w:sz w:val="24"/>
              </w:rPr>
              <w:t>安全用电、消防、用火知识</w:t>
            </w:r>
            <w:r>
              <w:rPr>
                <w:rFonts w:ascii="Times New Roman" w:eastAsia="仿宋" w:hAnsi="Times New Roman" w:cs="Times New Roman"/>
                <w:kern w:val="1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kern w:val="1"/>
                <w:sz w:val="24"/>
              </w:rPr>
              <w:t>生产事故常识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kern w:val="1"/>
                <w:sz w:val="24"/>
              </w:rPr>
            </w:pPr>
            <w:r>
              <w:rPr>
                <w:rFonts w:ascii="Times New Roman" w:eastAsia="仿宋" w:hAnsi="Times New Roman" w:cs="Times New Roman"/>
                <w:kern w:val="1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kern w:val="1"/>
                <w:sz w:val="24"/>
              </w:rPr>
              <w:t>厨房常用设备、工用具安全使用知识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kern w:val="1"/>
                <w:sz w:val="24"/>
              </w:rPr>
            </w:pPr>
            <w:r>
              <w:rPr>
                <w:rFonts w:ascii="Times New Roman" w:eastAsia="仿宋" w:hAnsi="Times New Roman" w:cs="Times New Roman"/>
                <w:kern w:val="1"/>
                <w:sz w:val="24"/>
              </w:rPr>
              <w:t>4.</w:t>
            </w:r>
            <w:r>
              <w:rPr>
                <w:rFonts w:ascii="Times New Roman" w:eastAsia="仿宋" w:hAnsi="Times New Roman" w:cs="Times New Roman"/>
                <w:kern w:val="1"/>
                <w:sz w:val="24"/>
              </w:rPr>
              <w:t>食品安全法律知识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kern w:val="1"/>
                <w:sz w:val="24"/>
              </w:rPr>
            </w:pPr>
            <w:r>
              <w:rPr>
                <w:rFonts w:ascii="Times New Roman" w:eastAsia="仿宋" w:hAnsi="Times New Roman" w:cs="Times New Roman"/>
                <w:kern w:val="1"/>
                <w:sz w:val="24"/>
              </w:rPr>
              <w:t>5.</w:t>
            </w:r>
            <w:r>
              <w:rPr>
                <w:rFonts w:ascii="Times New Roman" w:eastAsia="仿宋" w:hAnsi="Times New Roman" w:cs="Times New Roman"/>
                <w:kern w:val="1"/>
                <w:sz w:val="24"/>
              </w:rPr>
              <w:t>食物中毒与预防知识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kern w:val="1"/>
                <w:sz w:val="24"/>
              </w:rPr>
            </w:pPr>
            <w:r>
              <w:rPr>
                <w:rFonts w:ascii="Times New Roman" w:eastAsia="仿宋" w:hAnsi="Times New Roman" w:cs="Times New Roman"/>
                <w:kern w:val="1"/>
                <w:sz w:val="24"/>
              </w:rPr>
              <w:t>6.</w:t>
            </w:r>
            <w:r>
              <w:rPr>
                <w:rFonts w:ascii="Times New Roman" w:eastAsia="仿宋" w:hAnsi="Times New Roman" w:cs="Times New Roman"/>
                <w:kern w:val="1"/>
                <w:sz w:val="24"/>
              </w:rPr>
              <w:t>原料变质知识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1"/>
                <w:sz w:val="24"/>
              </w:rPr>
              <w:t>7.</w:t>
            </w:r>
            <w:r>
              <w:rPr>
                <w:rFonts w:ascii="Times New Roman" w:eastAsia="仿宋" w:hAnsi="Times New Roman" w:cs="Times New Roman"/>
                <w:kern w:val="1"/>
                <w:sz w:val="24"/>
              </w:rPr>
              <w:t>烹制过程中有毒物质产生知识</w:t>
            </w:r>
          </w:p>
        </w:tc>
        <w:tc>
          <w:tcPr>
            <w:tcW w:w="840" w:type="dxa"/>
            <w:vAlign w:val="center"/>
          </w:tcPr>
          <w:p w:rsidR="00161965" w:rsidRDefault="00900EC0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5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%</w:t>
            </w:r>
          </w:p>
        </w:tc>
      </w:tr>
      <w:tr w:rsidR="00161965">
        <w:trPr>
          <w:trHeight w:val="3172"/>
        </w:trPr>
        <w:tc>
          <w:tcPr>
            <w:tcW w:w="1260" w:type="dxa"/>
            <w:vAlign w:val="center"/>
          </w:tcPr>
          <w:p w:rsidR="00161965" w:rsidRPr="00900EC0" w:rsidRDefault="00900EC0" w:rsidP="00900EC0">
            <w:pPr>
              <w:spacing w:line="260" w:lineRule="exact"/>
              <w:ind w:firstLineChars="100" w:firstLine="241"/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</w:pPr>
            <w:r w:rsidRPr="00900EC0"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  <w:lastRenderedPageBreak/>
              <w:t>(</w:t>
            </w:r>
            <w:r w:rsidRPr="00900EC0"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  <w:t>二</w:t>
            </w:r>
            <w:r w:rsidRPr="00900EC0"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  <w:t>)</w:t>
            </w:r>
          </w:p>
          <w:p w:rsidR="00161965" w:rsidRPr="00900EC0" w:rsidRDefault="00900EC0" w:rsidP="00900EC0">
            <w:pPr>
              <w:widowControl/>
              <w:spacing w:line="260" w:lineRule="exact"/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</w:pPr>
            <w:r w:rsidRPr="00900EC0"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  <w:t>面坯调制</w:t>
            </w:r>
          </w:p>
        </w:tc>
        <w:tc>
          <w:tcPr>
            <w:tcW w:w="3276" w:type="dxa"/>
            <w:vAlign w:val="center"/>
          </w:tcPr>
          <w:p w:rsidR="00161965" w:rsidRDefault="00900EC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能正确使用冷水、温水、热水、沸水和膨松剂，按程序调制具有客家风味特色的面团</w:t>
            </w:r>
          </w:p>
          <w:p w:rsidR="00161965" w:rsidRDefault="00161965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3234" w:type="dxa"/>
            <w:vAlign w:val="center"/>
          </w:tcPr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sz w:val="24"/>
              </w:rPr>
              <w:t>淀粉常识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</w:t>
            </w:r>
            <w:r>
              <w:rPr>
                <w:rFonts w:ascii="Times New Roman" w:eastAsia="仿宋" w:hAnsi="Times New Roman" w:cs="Times New Roman"/>
                <w:sz w:val="24"/>
              </w:rPr>
              <w:t>客家风味点心配料常用知识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</w:rPr>
              <w:t>秤、电子秤、量杯的相关知识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4.</w:t>
            </w:r>
            <w:r>
              <w:rPr>
                <w:rFonts w:ascii="Times New Roman" w:eastAsia="仿宋" w:hAnsi="Times New Roman" w:cs="Times New Roman"/>
                <w:sz w:val="24"/>
              </w:rPr>
              <w:t>水调面坯的概念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5.</w:t>
            </w:r>
            <w:r>
              <w:rPr>
                <w:rFonts w:ascii="Times New Roman" w:eastAsia="仿宋" w:hAnsi="Times New Roman" w:cs="Times New Roman"/>
                <w:sz w:val="24"/>
              </w:rPr>
              <w:t>各种水温的面团的调制方法和特性以及用途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6.</w:t>
            </w:r>
            <w:r>
              <w:rPr>
                <w:rFonts w:ascii="Times New Roman" w:eastAsia="仿宋" w:hAnsi="Times New Roman" w:cs="Times New Roman"/>
                <w:sz w:val="24"/>
              </w:rPr>
              <w:t>膨松面团的调制方法和特性以及用途</w:t>
            </w:r>
          </w:p>
        </w:tc>
        <w:tc>
          <w:tcPr>
            <w:tcW w:w="840" w:type="dxa"/>
            <w:vAlign w:val="center"/>
          </w:tcPr>
          <w:p w:rsidR="00161965" w:rsidRDefault="00900EC0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30</w:t>
            </w:r>
            <w:r>
              <w:rPr>
                <w:rFonts w:ascii="Times New Roman" w:eastAsia="仿宋" w:hAnsi="Times New Roman" w:cs="Times New Roman"/>
                <w:sz w:val="24"/>
              </w:rPr>
              <w:t>%</w:t>
            </w:r>
          </w:p>
        </w:tc>
      </w:tr>
      <w:tr w:rsidR="00161965">
        <w:trPr>
          <w:trHeight w:val="3272"/>
        </w:trPr>
        <w:tc>
          <w:tcPr>
            <w:tcW w:w="1260" w:type="dxa"/>
            <w:vAlign w:val="center"/>
          </w:tcPr>
          <w:p w:rsidR="00161965" w:rsidRPr="00900EC0" w:rsidRDefault="00900EC0" w:rsidP="00900EC0">
            <w:pPr>
              <w:spacing w:line="260" w:lineRule="exact"/>
              <w:ind w:firstLineChars="100" w:firstLine="241"/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</w:pPr>
            <w:r w:rsidRPr="00900EC0"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  <w:t>(</w:t>
            </w:r>
            <w:r w:rsidRPr="00900EC0"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  <w:t>三</w:t>
            </w:r>
            <w:r w:rsidRPr="00900EC0"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  <w:t>)</w:t>
            </w:r>
          </w:p>
          <w:p w:rsidR="00161965" w:rsidRPr="00900EC0" w:rsidRDefault="00900EC0" w:rsidP="00900EC0">
            <w:pPr>
              <w:widowControl/>
              <w:spacing w:line="260" w:lineRule="exact"/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</w:pPr>
            <w:r w:rsidRPr="00900EC0"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  <w:t>生坯成型</w:t>
            </w:r>
          </w:p>
        </w:tc>
        <w:tc>
          <w:tcPr>
            <w:tcW w:w="3276" w:type="dxa"/>
            <w:vAlign w:val="center"/>
          </w:tcPr>
          <w:p w:rsidR="00161965" w:rsidRDefault="00900EC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能制作薯粉类坯皮，并按品种质量要求成型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br/>
              <w:t>2.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能制作糯米坯皮，并按品种质量要求成型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br/>
              <w:t>3.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能制作粘米坯皮，并按品种质量要求成型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br/>
              <w:t>4.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能制作粘米浆，并按品种质量要求成型</w:t>
            </w:r>
          </w:p>
          <w:p w:rsidR="00161965" w:rsidRDefault="00900EC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5.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能制作笋粄、酿粄等客家风味点心的馅料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br/>
            </w:r>
          </w:p>
        </w:tc>
        <w:tc>
          <w:tcPr>
            <w:tcW w:w="3234" w:type="dxa"/>
            <w:vAlign w:val="center"/>
          </w:tcPr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sz w:val="24"/>
              </w:rPr>
              <w:t>揉面的方法、特殊技法和要求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</w:t>
            </w:r>
            <w:r>
              <w:rPr>
                <w:rFonts w:ascii="Times New Roman" w:eastAsia="仿宋" w:hAnsi="Times New Roman" w:cs="Times New Roman"/>
                <w:sz w:val="24"/>
              </w:rPr>
              <w:t>搓条的概念、方法和要求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</w:rPr>
              <w:t>下剂的概念和要求、方法和用途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4.</w:t>
            </w:r>
            <w:r>
              <w:rPr>
                <w:rFonts w:ascii="Times New Roman" w:eastAsia="仿宋" w:hAnsi="Times New Roman" w:cs="Times New Roman"/>
                <w:sz w:val="24"/>
              </w:rPr>
              <w:t>制皮的概念、方法和用途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5.</w:t>
            </w:r>
            <w:r>
              <w:rPr>
                <w:rFonts w:ascii="Times New Roman" w:eastAsia="仿宋" w:hAnsi="Times New Roman" w:cs="Times New Roman"/>
                <w:sz w:val="24"/>
              </w:rPr>
              <w:t>面团的膨松概念、方法和用途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6.</w:t>
            </w:r>
            <w:r>
              <w:rPr>
                <w:rFonts w:ascii="Times New Roman" w:eastAsia="仿宋" w:hAnsi="Times New Roman" w:cs="Times New Roman"/>
                <w:sz w:val="24"/>
              </w:rPr>
              <w:t>馅料制作基础知识</w:t>
            </w:r>
          </w:p>
        </w:tc>
        <w:tc>
          <w:tcPr>
            <w:tcW w:w="840" w:type="dxa"/>
            <w:vAlign w:val="center"/>
          </w:tcPr>
          <w:p w:rsidR="00161965" w:rsidRDefault="00900EC0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30</w:t>
            </w:r>
            <w:r>
              <w:rPr>
                <w:rFonts w:ascii="Times New Roman" w:eastAsia="仿宋" w:hAnsi="Times New Roman" w:cs="Times New Roman"/>
                <w:sz w:val="24"/>
              </w:rPr>
              <w:t>%</w:t>
            </w:r>
          </w:p>
        </w:tc>
      </w:tr>
      <w:tr w:rsidR="00161965">
        <w:trPr>
          <w:trHeight w:val="3830"/>
        </w:trPr>
        <w:tc>
          <w:tcPr>
            <w:tcW w:w="1260" w:type="dxa"/>
            <w:vAlign w:val="center"/>
          </w:tcPr>
          <w:p w:rsidR="00161965" w:rsidRPr="00900EC0" w:rsidRDefault="00900EC0" w:rsidP="00900EC0">
            <w:pPr>
              <w:spacing w:line="260" w:lineRule="exact"/>
              <w:ind w:firstLineChars="100" w:firstLine="241"/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</w:pPr>
            <w:r w:rsidRPr="00900EC0"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  <w:t>(</w:t>
            </w:r>
            <w:r w:rsidRPr="00900EC0"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  <w:t>四</w:t>
            </w:r>
            <w:r w:rsidRPr="00900EC0"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  <w:t>)</w:t>
            </w:r>
          </w:p>
          <w:p w:rsidR="00161965" w:rsidRPr="00900EC0" w:rsidRDefault="00900EC0">
            <w:pPr>
              <w:widowControl/>
              <w:jc w:val="left"/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</w:pPr>
            <w:r w:rsidRPr="00900EC0">
              <w:rPr>
                <w:rFonts w:ascii="方正楷体简体" w:eastAsia="方正楷体简体" w:hAnsi="Times New Roman" w:cs="Times New Roman"/>
                <w:b/>
                <w:bCs/>
                <w:sz w:val="24"/>
              </w:rPr>
              <w:t>产品成熟</w:t>
            </w:r>
          </w:p>
        </w:tc>
        <w:tc>
          <w:tcPr>
            <w:tcW w:w="3276" w:type="dxa"/>
            <w:vAlign w:val="center"/>
          </w:tcPr>
          <w:p w:rsidR="00161965" w:rsidRDefault="00900EC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能用蒸、烤、煎、炸、煮等常用烹调法，将水调面团或淀粉类生坯制成合格的点心、小吃成品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br/>
              <w:t>2.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能制作客家风味点心、小吃</w:t>
            </w:r>
          </w:p>
          <w:p w:rsidR="00161965" w:rsidRDefault="00161965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3234" w:type="dxa"/>
            <w:vAlign w:val="center"/>
          </w:tcPr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sz w:val="24"/>
              </w:rPr>
              <w:t>蒸制的概念、要求、特点和注意事项及用途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</w:t>
            </w:r>
            <w:r>
              <w:rPr>
                <w:rFonts w:ascii="Times New Roman" w:eastAsia="仿宋" w:hAnsi="Times New Roman" w:cs="Times New Roman"/>
                <w:sz w:val="24"/>
              </w:rPr>
              <w:t>煎制的概念、特点、分类、方法和技术关键及用途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</w:rPr>
              <w:t>炸制的概念、特点、分类、方法和技术关键及用途</w:t>
            </w:r>
          </w:p>
          <w:p w:rsidR="00161965" w:rsidRDefault="00900EC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4.</w:t>
            </w:r>
            <w:r>
              <w:rPr>
                <w:rFonts w:ascii="Times New Roman" w:eastAsia="仿宋" w:hAnsi="Times New Roman" w:cs="Times New Roman"/>
                <w:sz w:val="24"/>
              </w:rPr>
              <w:t>烤的概念、方法、要求和技术要领及用途</w:t>
            </w:r>
          </w:p>
          <w:p w:rsidR="00161965" w:rsidRDefault="00900EC0">
            <w:p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5.</w:t>
            </w:r>
            <w:r>
              <w:rPr>
                <w:rFonts w:ascii="Times New Roman" w:eastAsia="仿宋" w:hAnsi="Times New Roman" w:cs="Times New Roman"/>
                <w:sz w:val="24"/>
              </w:rPr>
              <w:t>煮的概念、方法、要求和技术要领及用途</w:t>
            </w:r>
          </w:p>
          <w:p w:rsidR="00161965" w:rsidRDefault="00900EC0">
            <w:p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6. </w:t>
            </w: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客家地区饮食风俗习惯（饮食文化），风味点心、小吃的特点</w:t>
            </w:r>
          </w:p>
        </w:tc>
        <w:tc>
          <w:tcPr>
            <w:tcW w:w="840" w:type="dxa"/>
            <w:vAlign w:val="center"/>
          </w:tcPr>
          <w:p w:rsidR="00161965" w:rsidRDefault="00900EC0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25</w:t>
            </w:r>
            <w:r>
              <w:rPr>
                <w:rFonts w:ascii="Times New Roman" w:eastAsia="仿宋" w:hAnsi="Times New Roman" w:cs="Times New Roman"/>
                <w:sz w:val="24"/>
              </w:rPr>
              <w:t>%</w:t>
            </w:r>
          </w:p>
        </w:tc>
      </w:tr>
    </w:tbl>
    <w:p w:rsidR="00161965" w:rsidRPr="00900EC0" w:rsidRDefault="00900EC0" w:rsidP="00900EC0">
      <w:pPr>
        <w:spacing w:line="560" w:lineRule="exact"/>
        <w:ind w:firstLineChars="200" w:firstLine="640"/>
        <w:rPr>
          <w:rFonts w:ascii="方正黑体简体" w:eastAsia="方正黑体简体" w:hAnsi="Times New Roman" w:cs="Times New Roman"/>
          <w:sz w:val="32"/>
          <w:szCs w:val="32"/>
        </w:rPr>
      </w:pPr>
      <w:r w:rsidRPr="00900EC0">
        <w:rPr>
          <w:rFonts w:ascii="方正黑体简体" w:eastAsia="方正黑体简体" w:hAnsi="Times New Roman" w:cs="Times New Roman"/>
          <w:sz w:val="32"/>
          <w:szCs w:val="32"/>
        </w:rPr>
        <w:t>四、鉴定要求</w:t>
      </w:r>
    </w:p>
    <w:p w:rsidR="00161965" w:rsidRPr="00900EC0" w:rsidRDefault="00900EC0" w:rsidP="00900EC0">
      <w:pPr>
        <w:spacing w:line="560" w:lineRule="exact"/>
        <w:ind w:firstLineChars="200" w:firstLine="643"/>
        <w:rPr>
          <w:rFonts w:ascii="方正楷体简体" w:eastAsia="方正楷体简体" w:hAnsi="Times New Roman" w:cs="Times New Roman" w:hint="eastAsia"/>
          <w:b/>
          <w:bCs/>
          <w:sz w:val="32"/>
          <w:szCs w:val="32"/>
        </w:rPr>
      </w:pPr>
      <w:r w:rsidRPr="00900EC0">
        <w:rPr>
          <w:rFonts w:ascii="方正楷体简体" w:eastAsia="方正楷体简体" w:hAnsi="Times New Roman" w:cs="Times New Roman" w:hint="eastAsia"/>
          <w:b/>
          <w:bCs/>
          <w:sz w:val="32"/>
          <w:szCs w:val="32"/>
        </w:rPr>
        <w:t>（一）申报条件</w:t>
      </w:r>
    </w:p>
    <w:p w:rsidR="00161965" w:rsidRPr="00900EC0" w:rsidRDefault="00900EC0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32"/>
        </w:rPr>
      </w:pP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达到法定劳动年龄，具有相应技能的劳动者均可申报。</w:t>
      </w:r>
    </w:p>
    <w:p w:rsidR="00161965" w:rsidRPr="00900EC0" w:rsidRDefault="00900EC0" w:rsidP="00900EC0">
      <w:pPr>
        <w:spacing w:line="560" w:lineRule="exact"/>
        <w:ind w:firstLineChars="200" w:firstLine="643"/>
        <w:rPr>
          <w:rFonts w:ascii="方正楷体简体" w:eastAsia="方正楷体简体" w:hAnsi="Times New Roman" w:cs="Times New Roman"/>
          <w:b/>
          <w:bCs/>
          <w:sz w:val="32"/>
          <w:szCs w:val="32"/>
        </w:rPr>
      </w:pPr>
      <w:r w:rsidRPr="00900EC0">
        <w:rPr>
          <w:rFonts w:ascii="方正楷体简体" w:eastAsia="方正楷体简体" w:hAnsi="Times New Roman" w:cs="Times New Roman"/>
          <w:b/>
          <w:bCs/>
          <w:sz w:val="32"/>
          <w:szCs w:val="32"/>
        </w:rPr>
        <w:t>（二）考评员组成</w:t>
      </w:r>
    </w:p>
    <w:p w:rsidR="00161965" w:rsidRPr="00900EC0" w:rsidRDefault="00900EC0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32"/>
        </w:rPr>
      </w:pP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lastRenderedPageBreak/>
        <w:t>考评员应具备客家风味点心制作的专业知识和实际操作经验，并经过考核获得相应考评员资格证书；每个考评组不少于</w:t>
      </w: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4</w:t>
      </w: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名考评员。</w:t>
      </w:r>
    </w:p>
    <w:p w:rsidR="00161965" w:rsidRPr="00900EC0" w:rsidRDefault="00900EC0" w:rsidP="00900EC0">
      <w:pPr>
        <w:spacing w:line="560" w:lineRule="exact"/>
        <w:ind w:firstLineChars="200" w:firstLine="643"/>
        <w:rPr>
          <w:rFonts w:ascii="方正楷体简体" w:eastAsia="方正楷体简体" w:hAnsi="Times New Roman" w:cs="Times New Roman"/>
          <w:b/>
          <w:bCs/>
          <w:sz w:val="32"/>
          <w:szCs w:val="32"/>
        </w:rPr>
      </w:pPr>
      <w:r w:rsidRPr="00900EC0">
        <w:rPr>
          <w:rFonts w:ascii="方正楷体简体" w:eastAsia="方正楷体简体" w:hAnsi="Times New Roman" w:cs="Times New Roman"/>
          <w:b/>
          <w:bCs/>
          <w:sz w:val="32"/>
          <w:szCs w:val="32"/>
        </w:rPr>
        <w:t>（三）鉴定方式与鉴定时间</w:t>
      </w:r>
    </w:p>
    <w:p w:rsidR="00161965" w:rsidRPr="00900EC0" w:rsidRDefault="00900EC0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32"/>
        </w:rPr>
      </w:pP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鉴定方式采取实际操作考核，</w:t>
      </w: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技能操作试题按照不少于</w:t>
      </w: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120</w:t>
      </w: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分钟</w:t>
      </w: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命制</w:t>
      </w: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。</w:t>
      </w:r>
    </w:p>
    <w:p w:rsidR="00161965" w:rsidRPr="00900EC0" w:rsidRDefault="00900EC0" w:rsidP="00900EC0">
      <w:pPr>
        <w:spacing w:line="560" w:lineRule="exact"/>
        <w:ind w:firstLineChars="200" w:firstLine="643"/>
        <w:rPr>
          <w:rFonts w:ascii="方正楷体简体" w:eastAsia="方正楷体简体" w:hAnsi="Times New Roman" w:cs="Times New Roman"/>
          <w:b/>
          <w:bCs/>
          <w:sz w:val="32"/>
          <w:szCs w:val="32"/>
        </w:rPr>
      </w:pPr>
      <w:r w:rsidRPr="00900EC0">
        <w:rPr>
          <w:rFonts w:ascii="方正楷体简体" w:eastAsia="方正楷体简体" w:hAnsi="Times New Roman" w:cs="Times New Roman"/>
          <w:b/>
          <w:bCs/>
          <w:sz w:val="32"/>
          <w:szCs w:val="32"/>
        </w:rPr>
        <w:t>（四）鉴定场地设备要求</w:t>
      </w:r>
    </w:p>
    <w:p w:rsidR="00161965" w:rsidRPr="00900EC0" w:rsidRDefault="00900EC0" w:rsidP="00900EC0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32"/>
        </w:rPr>
      </w:pP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场地不少于</w:t>
      </w: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50</w:t>
      </w: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平方米，</w:t>
      </w:r>
      <w:r w:rsidRPr="00900EC0">
        <w:rPr>
          <w:rFonts w:ascii="方正仿宋简体" w:eastAsia="方正仿宋简体" w:hAnsi="Times New Roman" w:cs="Times New Roman"/>
          <w:bCs/>
          <w:sz w:val="32"/>
          <w:szCs w:val="32"/>
        </w:rPr>
        <w:t>点心制作的设施、设备和工具齐全。室内采光良好，通风、供排水良好，整洁无干扰。卫生、安全符合国家相关规定标准。</w:t>
      </w:r>
    </w:p>
    <w:sectPr w:rsidR="00161965" w:rsidRPr="00900EC0" w:rsidSect="00900EC0">
      <w:pgSz w:w="11906" w:h="16838"/>
      <w:pgMar w:top="1985" w:right="141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65"/>
    <w:rsid w:val="00161965"/>
    <w:rsid w:val="00900EC0"/>
    <w:rsid w:val="22C7196A"/>
    <w:rsid w:val="4D59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刘家道</cp:lastModifiedBy>
  <cp:revision>2</cp:revision>
  <dcterms:created xsi:type="dcterms:W3CDTF">2014-10-29T12:08:00Z</dcterms:created>
  <dcterms:modified xsi:type="dcterms:W3CDTF">2019-05-06T09:03:00Z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