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Cs/>
          <w:spacing w:val="0"/>
          <w:sz w:val="32"/>
          <w:szCs w:val="32"/>
          <w:lang w:val="en-US" w:eastAsia="zh-CN"/>
        </w:rPr>
      </w:pPr>
      <w:r>
        <w:rPr>
          <w:rFonts w:hint="eastAsia" w:ascii="方正小标宋简体" w:hAnsi="方正小标宋简体" w:eastAsia="方正小标宋简体" w:cs="方正小标宋简体"/>
          <w:bCs/>
          <w:spacing w:val="0"/>
          <w:sz w:val="32"/>
          <w:szCs w:val="32"/>
          <w:lang w:val="en-US" w:eastAsia="zh-CN"/>
        </w:rPr>
        <w:t>河源市住房公积金贷款按月对冲还贷委托协议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eastAsia="仿宋_GB2312"/>
          <w:bCs/>
          <w:spacing w:val="0"/>
          <w:sz w:val="22"/>
          <w:szCs w:val="22"/>
          <w:lang w:val="en-US" w:eastAsia="zh-CN"/>
        </w:rPr>
      </w:pPr>
      <w:r>
        <w:rPr>
          <w:rFonts w:hint="eastAsia" w:ascii="仿宋_GB2312" w:eastAsia="仿宋_GB2312"/>
          <w:bCs/>
          <w:spacing w:val="0"/>
          <w:sz w:val="22"/>
          <w:szCs w:val="22"/>
          <w:lang w:val="en-US" w:eastAsia="zh-CN"/>
        </w:rPr>
        <w:t>委托人（甲方）：                   受托人（乙方）：</w:t>
      </w:r>
      <w:r>
        <w:rPr>
          <w:rFonts w:hint="eastAsia" w:ascii="仿宋_GB2312" w:eastAsia="仿宋_GB2312"/>
          <w:bCs/>
          <w:spacing w:val="0"/>
          <w:sz w:val="22"/>
          <w:szCs w:val="22"/>
          <w:u w:val="single"/>
          <w:lang w:val="en-US" w:eastAsia="zh-CN"/>
        </w:rPr>
        <w:t xml:space="preserve">     </w:t>
      </w:r>
      <w:r>
        <w:rPr>
          <w:rFonts w:hint="eastAsia" w:ascii="仿宋_GB2312" w:eastAsia="仿宋_GB2312"/>
          <w:bCs/>
          <w:spacing w:val="0"/>
          <w:sz w:val="22"/>
          <w:szCs w:val="22"/>
          <w:lang w:val="en-US" w:eastAsia="zh-CN"/>
        </w:rPr>
        <w:t>住房公积金管理中心</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859"/>
        <w:gridCol w:w="1175"/>
        <w:gridCol w:w="1176"/>
        <w:gridCol w:w="1644"/>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lang w:val="en-US" w:eastAsia="zh-CN"/>
              </w:rPr>
              <w:t>借款人姓名</w:t>
            </w:r>
          </w:p>
        </w:tc>
        <w:tc>
          <w:tcPr>
            <w:tcW w:w="2351"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c>
          <w:tcPr>
            <w:tcW w:w="164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sz w:val="22"/>
              </w:rPr>
              <w:t>借款合同编号</w:t>
            </w: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借款人身份证号码</w:t>
            </w:r>
          </w:p>
        </w:tc>
        <w:tc>
          <w:tcPr>
            <w:tcW w:w="2351"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c>
          <w:tcPr>
            <w:tcW w:w="164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手机号码</w:t>
            </w: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贷款银行</w:t>
            </w:r>
          </w:p>
        </w:tc>
        <w:tc>
          <w:tcPr>
            <w:tcW w:w="2351"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c>
          <w:tcPr>
            <w:tcW w:w="164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放款时间</w:t>
            </w: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贷款金额</w:t>
            </w:r>
          </w:p>
        </w:tc>
        <w:tc>
          <w:tcPr>
            <w:tcW w:w="2351"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c>
          <w:tcPr>
            <w:tcW w:w="164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贷款期限</w:t>
            </w: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08"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还款日</w:t>
            </w:r>
          </w:p>
        </w:tc>
        <w:tc>
          <w:tcPr>
            <w:tcW w:w="2351"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每月    日</w:t>
            </w:r>
          </w:p>
        </w:tc>
        <w:tc>
          <w:tcPr>
            <w:tcW w:w="164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办理类型</w:t>
            </w: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sz w:val="22"/>
              </w:rPr>
              <w:t>□</w:t>
            </w:r>
            <w:r>
              <w:rPr>
                <w:rFonts w:hint="eastAsia" w:ascii="仿宋_GB2312" w:eastAsia="仿宋_GB2312"/>
                <w:sz w:val="22"/>
                <w:lang w:eastAsia="zh-CN"/>
              </w:rPr>
              <w:t>签订</w:t>
            </w:r>
            <w:r>
              <w:rPr>
                <w:rFonts w:hint="eastAsia" w:ascii="仿宋_GB2312" w:eastAsia="仿宋_GB2312"/>
                <w:sz w:val="22"/>
              </w:rPr>
              <w:t xml:space="preserve">    □</w:t>
            </w:r>
            <w:r>
              <w:rPr>
                <w:rFonts w:hint="eastAsia" w:ascii="仿宋_GB2312" w:eastAsia="仿宋_GB2312"/>
                <w:sz w:val="22"/>
                <w:lang w:eastAsia="zh-CN"/>
              </w:rPr>
              <w:t>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代扣顺序</w:t>
            </w:r>
          </w:p>
        </w:tc>
        <w:tc>
          <w:tcPr>
            <w:tcW w:w="2034"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甲方缴存账户户名</w:t>
            </w:r>
          </w:p>
        </w:tc>
        <w:tc>
          <w:tcPr>
            <w:tcW w:w="2820"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代扣个人住房公积金账号</w:t>
            </w: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身份证或其他证件号码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1</w:t>
            </w:r>
          </w:p>
        </w:tc>
        <w:tc>
          <w:tcPr>
            <w:tcW w:w="2034"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820"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2</w:t>
            </w:r>
          </w:p>
        </w:tc>
        <w:tc>
          <w:tcPr>
            <w:tcW w:w="2034"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820"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3</w:t>
            </w:r>
          </w:p>
        </w:tc>
        <w:tc>
          <w:tcPr>
            <w:tcW w:w="2034"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820"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4</w:t>
            </w:r>
          </w:p>
        </w:tc>
        <w:tc>
          <w:tcPr>
            <w:tcW w:w="2034"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820"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c>
          <w:tcPr>
            <w:tcW w:w="2717"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bCs/>
                <w:spacing w:val="0"/>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8" w:hRule="atLeast"/>
        </w:trPr>
        <w:tc>
          <w:tcPr>
            <w:tcW w:w="8720" w:type="dxa"/>
            <w:gridSpan w:val="6"/>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
                <w:bCs w:val="0"/>
                <w:spacing w:val="0"/>
                <w:sz w:val="22"/>
                <w:szCs w:val="22"/>
                <w:vertAlign w:val="baseline"/>
                <w:lang w:val="en-US" w:eastAsia="zh-CN"/>
              </w:rPr>
              <w:t>经甲方双方协商，达成以下协议：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本协议自签订之日起生效。协议有效期内，甲方不可撤销公积金中心按上述扣划顺序从代扣账户中扣划资金用于冲还上述住房公积金贷款应还本金、利息、罚息、违约金。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代扣冲还时间：每月应还款日。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代扣冲还顺序及方式：1、乙方按照本协议确定的代扣顺序按月划转，第一顺序人缴存账户内公积金划转后，不足部分再划转下一代扣顺序人缴存账户内的公积金，依此类推；2、甲方住房公积金缴存账户余额（至少保留100元）不足当期扣划的，执行原借款合同约定从银行还款账户中扣划，若银行还款账户余额不足当期扣划导致贷款产生逾期的，由借款人承担相关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四、甲方在本协议执行期间可进行协议变更或撤销。本协议的变更或撤销仅为委托对冲还贷业务的变更或撤销，不表示该笔住房公积金贷款还贷责任的解除。若因离婚等原因未办理“对冲还贷协议”变更或撤销导致的后果，由甲方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五、甲方应确保在我中心登记的手机号码准确无误，以便收到短信提醒，若发生手机号码变更应及时到乙方业务网点办理联系方式变更业务。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六、甲方在贷款期间发生还款卡或存折丢失、损坏等情况，应在银行重新办理相应的卡或存折后，持本人身份证、银行卡原件到乙方业务网点贷款窗口办理还款卡号变更业务。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七、有以下情形的，本协议自动终止：1、贷款本息已结清的；2、甲方公积金缴存账户发生冻结、销户、转移至外市的；3、甲方办理了本协议撤销业务的。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eastAsia="仿宋_GB2312"/>
                <w:bCs/>
                <w:spacing w:val="0"/>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仿宋_GB2312" w:eastAsia="仿宋_GB2312"/>
                <w:bCs/>
                <w:spacing w:val="0"/>
                <w:sz w:val="22"/>
                <w:szCs w:val="2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甲方（签名）：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乙方：</w:t>
            </w:r>
            <w:r>
              <w:rPr>
                <w:rFonts w:hint="eastAsia" w:ascii="仿宋_GB2312" w:eastAsia="仿宋_GB2312"/>
                <w:bCs/>
                <w:spacing w:val="0"/>
                <w:sz w:val="22"/>
                <w:szCs w:val="22"/>
                <w:u w:val="single"/>
                <w:vertAlign w:val="baseline"/>
                <w:lang w:val="en-US" w:eastAsia="zh-CN"/>
              </w:rPr>
              <w:t xml:space="preserve">      </w:t>
            </w:r>
            <w:bookmarkStart w:id="0" w:name="_GoBack"/>
            <w:bookmarkEnd w:id="0"/>
            <w:r>
              <w:rPr>
                <w:rFonts w:hint="eastAsia" w:ascii="仿宋_GB2312" w:eastAsia="仿宋_GB2312"/>
                <w:bCs/>
                <w:spacing w:val="0"/>
                <w:sz w:val="22"/>
                <w:szCs w:val="22"/>
                <w:vertAlign w:val="baseline"/>
                <w:lang w:val="en-US" w:eastAsia="zh-CN"/>
              </w:rPr>
              <w:t>住房公积金管理中心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18" w:firstLineChars="190"/>
              <w:jc w:val="both"/>
              <w:textAlignment w:val="auto"/>
              <w:outlineLvl w:val="9"/>
              <w:rPr>
                <w:rFonts w:hint="eastAsia" w:ascii="仿宋_GB2312" w:eastAsia="仿宋_GB2312"/>
                <w:bCs/>
                <w:spacing w:val="0"/>
                <w:sz w:val="22"/>
                <w:szCs w:val="22"/>
                <w:vertAlign w:val="baseline"/>
                <w:lang w:val="en-US" w:eastAsia="zh-CN"/>
              </w:rPr>
            </w:pPr>
            <w:r>
              <w:rPr>
                <w:rFonts w:hint="eastAsia" w:ascii="仿宋_GB2312" w:eastAsia="仿宋_GB2312"/>
                <w:bCs/>
                <w:spacing w:val="0"/>
                <w:sz w:val="22"/>
                <w:szCs w:val="22"/>
                <w:vertAlign w:val="baseline"/>
                <w:lang w:val="en-US" w:eastAsia="zh-CN"/>
              </w:rPr>
              <w:t>时间：     年    月   日</w:t>
            </w:r>
          </w:p>
        </w:tc>
      </w:tr>
    </w:tbl>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pPr>
    </w:p>
    <w:sectPr>
      <w:footerReference r:id="rId3" w:type="default"/>
      <w:pgSz w:w="11906" w:h="16838"/>
      <w:pgMar w:top="1440" w:right="1701" w:bottom="1440" w:left="1701" w:header="851" w:footer="992" w:gutter="0"/>
      <w:pgNumType w:fmt="numberInDash"/>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84F4F"/>
    <w:multiLevelType w:val="singleLevel"/>
    <w:tmpl w:val="5B484F4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75A29"/>
    <w:rsid w:val="54965BD6"/>
    <w:rsid w:val="60206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lzy</cp:lastModifiedBy>
  <cp:lastPrinted>2019-03-27T02:57:00Z</cp:lastPrinted>
  <dcterms:modified xsi:type="dcterms:W3CDTF">2019-03-28T06:38:47Z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