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C9" w:rsidRDefault="00A338C9" w:rsidP="00A338C9">
      <w:pPr>
        <w:spacing w:line="520" w:lineRule="exact"/>
        <w:rPr>
          <w:rFonts w:ascii="黑体" w:eastAsia="黑体" w:hAnsi="黑体" w:hint="eastAsia"/>
        </w:rPr>
      </w:pPr>
      <w:r>
        <w:rPr>
          <w:rFonts w:ascii="黑体" w:eastAsia="黑体" w:hAnsi="黑体" w:hint="eastAsia"/>
        </w:rPr>
        <w:t>附 件</w:t>
      </w:r>
    </w:p>
    <w:p w:rsidR="00A338C9" w:rsidRDefault="00A338C9" w:rsidP="00A338C9">
      <w:pPr>
        <w:spacing w:beforeLines="50" w:afterLines="50" w:line="520" w:lineRule="exact"/>
        <w:jc w:val="center"/>
        <w:rPr>
          <w:rFonts w:hint="eastAsia"/>
        </w:rPr>
      </w:pPr>
      <w:r>
        <w:rPr>
          <w:rFonts w:ascii="宋体" w:eastAsia="宋体" w:hAnsi="宋体" w:cs="宋体" w:hint="eastAsia"/>
          <w:sz w:val="44"/>
          <w:szCs w:val="44"/>
          <w:u w:val="single"/>
        </w:rPr>
        <w:t xml:space="preserve">    </w:t>
      </w:r>
      <w:r>
        <w:rPr>
          <w:rFonts w:ascii="创艺简标宋" w:eastAsia="创艺简标宋" w:hint="eastAsia"/>
          <w:sz w:val="44"/>
          <w:szCs w:val="44"/>
        </w:rPr>
        <w:t>年县（区）政府（管委会）电网建设目标任务完成情况评分表</w:t>
      </w:r>
    </w:p>
    <w:p w:rsidR="00A338C9" w:rsidRDefault="00A338C9" w:rsidP="00A338C9">
      <w:pPr>
        <w:spacing w:line="520" w:lineRule="exact"/>
        <w:rPr>
          <w:rFonts w:hint="eastAsia"/>
          <w:sz w:val="28"/>
          <w:szCs w:val="28"/>
        </w:rPr>
      </w:pPr>
      <w:r>
        <w:rPr>
          <w:rFonts w:hint="eastAsia"/>
          <w:sz w:val="28"/>
          <w:szCs w:val="28"/>
        </w:rPr>
        <w:t>单位：（盖章）</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256"/>
        <w:gridCol w:w="2533"/>
        <w:gridCol w:w="1001"/>
        <w:gridCol w:w="820"/>
        <w:gridCol w:w="6369"/>
        <w:gridCol w:w="6"/>
        <w:gridCol w:w="1074"/>
        <w:gridCol w:w="6"/>
        <w:gridCol w:w="1074"/>
        <w:gridCol w:w="6"/>
        <w:gridCol w:w="1083"/>
      </w:tblGrid>
      <w:tr w:rsidR="00A338C9" w:rsidTr="000C4F31">
        <w:trPr>
          <w:trHeight w:val="513"/>
        </w:trPr>
        <w:tc>
          <w:tcPr>
            <w:tcW w:w="14920" w:type="dxa"/>
            <w:gridSpan w:val="12"/>
          </w:tcPr>
          <w:p w:rsidR="00A338C9" w:rsidRDefault="00A338C9" w:rsidP="000C4F31">
            <w:pPr>
              <w:spacing w:line="520" w:lineRule="exact"/>
              <w:ind w:left="10" w:hanging="10"/>
              <w:jc w:val="left"/>
              <w:rPr>
                <w:rFonts w:ascii="黑体" w:eastAsia="黑体" w:hAnsi="黑体" w:hint="eastAsia"/>
                <w:sz w:val="24"/>
              </w:rPr>
            </w:pPr>
            <w:r>
              <w:rPr>
                <w:rFonts w:ascii="黑体" w:eastAsia="黑体" w:hAnsi="黑体" w:hint="eastAsia"/>
                <w:sz w:val="24"/>
              </w:rPr>
              <w:t>一、推进电网建设协调机制、措施落实情况（30分）</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序号</w:t>
            </w:r>
          </w:p>
        </w:tc>
        <w:tc>
          <w:tcPr>
            <w:tcW w:w="3790" w:type="dxa"/>
            <w:gridSpan w:val="3"/>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具体措施</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分值</w:t>
            </w:r>
          </w:p>
        </w:tc>
        <w:tc>
          <w:tcPr>
            <w:tcW w:w="6369" w:type="dxa"/>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评分标准</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打分结果</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完成情况简述</w:t>
            </w:r>
          </w:p>
        </w:tc>
        <w:tc>
          <w:tcPr>
            <w:tcW w:w="1089" w:type="dxa"/>
            <w:gridSpan w:val="2"/>
            <w:vMerge w:val="restart"/>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备注</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0"/>
        </w:trPr>
        <w:tc>
          <w:tcPr>
            <w:tcW w:w="692" w:type="dxa"/>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2"/>
                <w:szCs w:val="22"/>
              </w:rPr>
            </w:pPr>
          </w:p>
        </w:tc>
        <w:tc>
          <w:tcPr>
            <w:tcW w:w="3790" w:type="dxa"/>
            <w:gridSpan w:val="3"/>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2"/>
                <w:szCs w:val="22"/>
              </w:rPr>
            </w:pPr>
          </w:p>
        </w:tc>
        <w:tc>
          <w:tcPr>
            <w:tcW w:w="6369" w:type="dxa"/>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2"/>
                <w:szCs w:val="22"/>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1"/>
                <w:szCs w:val="2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1"/>
                <w:szCs w:val="21"/>
              </w:rPr>
            </w:pPr>
          </w:p>
        </w:tc>
        <w:tc>
          <w:tcPr>
            <w:tcW w:w="1089" w:type="dxa"/>
            <w:gridSpan w:val="2"/>
            <w:vMerge/>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360" w:lineRule="exact"/>
              <w:jc w:val="left"/>
              <w:rPr>
                <w:rFonts w:ascii="黑体" w:eastAsia="黑体" w:hAnsi="黑体" w:cs="宋体"/>
                <w:kern w:val="0"/>
                <w:sz w:val="21"/>
                <w:szCs w:val="21"/>
              </w:rPr>
            </w:pP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0"/>
        </w:trPr>
        <w:tc>
          <w:tcPr>
            <w:tcW w:w="692" w:type="dxa"/>
            <w:tcBorders>
              <w:top w:val="nil"/>
              <w:left w:val="single" w:sz="4" w:space="0" w:color="auto"/>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1</w:t>
            </w:r>
          </w:p>
        </w:tc>
        <w:tc>
          <w:tcPr>
            <w:tcW w:w="3790" w:type="dxa"/>
            <w:gridSpan w:val="3"/>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1"/>
                <w:szCs w:val="21"/>
              </w:rPr>
            </w:pPr>
            <w:r>
              <w:rPr>
                <w:rFonts w:ascii="仿宋_GB2312" w:hAnsi="宋体" w:cs="宋体" w:hint="eastAsia"/>
                <w:kern w:val="0"/>
                <w:sz w:val="21"/>
                <w:szCs w:val="21"/>
              </w:rPr>
              <w:t>成立以行政一把手为组长的电网建设领导机构和办事机构</w:t>
            </w:r>
          </w:p>
        </w:tc>
        <w:tc>
          <w:tcPr>
            <w:tcW w:w="820" w:type="dxa"/>
            <w:tcBorders>
              <w:top w:val="nil"/>
              <w:left w:val="nil"/>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5</w:t>
            </w:r>
          </w:p>
        </w:tc>
        <w:tc>
          <w:tcPr>
            <w:tcW w:w="6369"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color w:val="000000"/>
                <w:kern w:val="0"/>
                <w:sz w:val="21"/>
                <w:szCs w:val="21"/>
              </w:rPr>
            </w:pPr>
            <w:r>
              <w:rPr>
                <w:rFonts w:ascii="仿宋_GB2312" w:hAnsi="宋体" w:cs="宋体" w:hint="eastAsia"/>
                <w:color w:val="000000"/>
                <w:kern w:val="0"/>
                <w:sz w:val="21"/>
                <w:szCs w:val="21"/>
              </w:rPr>
              <w:t>县级未成立的扣5分，镇级未成立的每镇扣0.5分（未及时调整的视为未成立），扣完为止。</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9"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13"/>
        </w:trPr>
        <w:tc>
          <w:tcPr>
            <w:tcW w:w="692" w:type="dxa"/>
            <w:tcBorders>
              <w:top w:val="nil"/>
              <w:left w:val="single" w:sz="4" w:space="0" w:color="auto"/>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2</w:t>
            </w:r>
          </w:p>
        </w:tc>
        <w:tc>
          <w:tcPr>
            <w:tcW w:w="3790" w:type="dxa"/>
            <w:gridSpan w:val="3"/>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1"/>
                <w:szCs w:val="21"/>
              </w:rPr>
            </w:pPr>
            <w:r>
              <w:rPr>
                <w:rFonts w:ascii="仿宋_GB2312" w:hAnsi="宋体" w:cs="宋体" w:hint="eastAsia"/>
                <w:kern w:val="0"/>
                <w:sz w:val="21"/>
                <w:szCs w:val="21"/>
              </w:rPr>
              <w:t>办事机构高效开展工作，及时解决电网建设存在的问题</w:t>
            </w:r>
          </w:p>
        </w:tc>
        <w:tc>
          <w:tcPr>
            <w:tcW w:w="820" w:type="dxa"/>
            <w:tcBorders>
              <w:top w:val="nil"/>
              <w:left w:val="nil"/>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10</w:t>
            </w:r>
          </w:p>
        </w:tc>
        <w:tc>
          <w:tcPr>
            <w:tcW w:w="6369"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color w:val="000000"/>
                <w:kern w:val="0"/>
                <w:sz w:val="21"/>
                <w:szCs w:val="21"/>
              </w:rPr>
            </w:pPr>
            <w:r>
              <w:rPr>
                <w:rFonts w:ascii="仿宋_GB2312" w:hAnsi="宋体" w:cs="宋体" w:hint="eastAsia"/>
                <w:color w:val="000000"/>
                <w:kern w:val="0"/>
                <w:sz w:val="21"/>
                <w:szCs w:val="21"/>
              </w:rPr>
              <w:t>对电网建设推进情况采取按月通报制度。对施工受阻需要解决的问题，未及时解决的，每被通报一次扣1分，扣完为止。</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9"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3"/>
        </w:trPr>
        <w:tc>
          <w:tcPr>
            <w:tcW w:w="692" w:type="dxa"/>
            <w:tcBorders>
              <w:top w:val="nil"/>
              <w:left w:val="single" w:sz="4" w:space="0" w:color="auto"/>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3</w:t>
            </w:r>
          </w:p>
        </w:tc>
        <w:tc>
          <w:tcPr>
            <w:tcW w:w="3790" w:type="dxa"/>
            <w:gridSpan w:val="3"/>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1"/>
                <w:szCs w:val="21"/>
              </w:rPr>
            </w:pPr>
            <w:r>
              <w:rPr>
                <w:rFonts w:ascii="仿宋_GB2312" w:hAnsi="宋体" w:cs="宋体" w:hint="eastAsia"/>
                <w:kern w:val="0"/>
                <w:sz w:val="21"/>
                <w:szCs w:val="21"/>
              </w:rPr>
              <w:t>任务分解至各乡镇、有关单位，明确责任人并签订责任书</w:t>
            </w:r>
          </w:p>
        </w:tc>
        <w:tc>
          <w:tcPr>
            <w:tcW w:w="820" w:type="dxa"/>
            <w:tcBorders>
              <w:top w:val="nil"/>
              <w:left w:val="nil"/>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5</w:t>
            </w:r>
          </w:p>
        </w:tc>
        <w:tc>
          <w:tcPr>
            <w:tcW w:w="6369"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20" w:lineRule="exact"/>
              <w:rPr>
                <w:rFonts w:ascii="仿宋_GB2312" w:hAnsi="宋体" w:cs="宋体" w:hint="eastAsia"/>
                <w:kern w:val="0"/>
                <w:sz w:val="21"/>
                <w:szCs w:val="21"/>
              </w:rPr>
            </w:pPr>
            <w:r>
              <w:rPr>
                <w:rFonts w:ascii="仿宋_GB2312" w:hAnsi="宋体" w:cs="宋体" w:hint="eastAsia"/>
                <w:kern w:val="0"/>
                <w:sz w:val="21"/>
                <w:szCs w:val="21"/>
              </w:rPr>
              <w:t>检查责任书，未与责任单位签订的每个扣</w:t>
            </w:r>
            <w:r>
              <w:rPr>
                <w:rFonts w:ascii="仿宋_GB2312" w:hint="eastAsia"/>
                <w:kern w:val="0"/>
                <w:sz w:val="21"/>
                <w:szCs w:val="21"/>
              </w:rPr>
              <w:t>0.5</w:t>
            </w:r>
            <w:r>
              <w:rPr>
                <w:rFonts w:ascii="仿宋_GB2312" w:hAnsi="宋体" w:cs="宋体" w:hint="eastAsia"/>
                <w:kern w:val="0"/>
                <w:sz w:val="21"/>
                <w:szCs w:val="21"/>
              </w:rPr>
              <w:t>分，扣完为止。</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9"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35"/>
        </w:trPr>
        <w:tc>
          <w:tcPr>
            <w:tcW w:w="692" w:type="dxa"/>
            <w:tcBorders>
              <w:top w:val="nil"/>
              <w:left w:val="single" w:sz="4" w:space="0" w:color="auto"/>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4</w:t>
            </w:r>
          </w:p>
        </w:tc>
        <w:tc>
          <w:tcPr>
            <w:tcW w:w="3790" w:type="dxa"/>
            <w:gridSpan w:val="3"/>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1"/>
                <w:szCs w:val="21"/>
              </w:rPr>
            </w:pPr>
            <w:r>
              <w:rPr>
                <w:rFonts w:ascii="仿宋_GB2312" w:hAnsi="宋体" w:cs="宋体" w:hint="eastAsia"/>
                <w:kern w:val="0"/>
                <w:sz w:val="21"/>
                <w:szCs w:val="21"/>
              </w:rPr>
              <w:t>将电网建设项目列为县区政府重点工程项目，按本级政府重点项目要求进行管理</w:t>
            </w:r>
          </w:p>
        </w:tc>
        <w:tc>
          <w:tcPr>
            <w:tcW w:w="820" w:type="dxa"/>
            <w:tcBorders>
              <w:top w:val="nil"/>
              <w:left w:val="nil"/>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5</w:t>
            </w:r>
          </w:p>
        </w:tc>
        <w:tc>
          <w:tcPr>
            <w:tcW w:w="6369"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color w:val="000000"/>
                <w:kern w:val="0"/>
                <w:sz w:val="21"/>
                <w:szCs w:val="21"/>
              </w:rPr>
            </w:pPr>
            <w:r>
              <w:rPr>
                <w:rFonts w:ascii="仿宋_GB2312" w:hAnsi="宋体" w:cs="宋体" w:hint="eastAsia"/>
                <w:color w:val="000000"/>
                <w:kern w:val="0"/>
                <w:sz w:val="21"/>
                <w:szCs w:val="21"/>
              </w:rPr>
              <w:t>未列入的扣5分，列入但未按本级政府重点项目要求进行管理的，扣3分。</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9"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38"/>
        </w:trPr>
        <w:tc>
          <w:tcPr>
            <w:tcW w:w="692" w:type="dxa"/>
            <w:tcBorders>
              <w:top w:val="nil"/>
              <w:left w:val="single" w:sz="4" w:space="0" w:color="auto"/>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5</w:t>
            </w:r>
          </w:p>
        </w:tc>
        <w:tc>
          <w:tcPr>
            <w:tcW w:w="3790" w:type="dxa"/>
            <w:gridSpan w:val="3"/>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1"/>
                <w:szCs w:val="21"/>
              </w:rPr>
            </w:pPr>
            <w:r>
              <w:rPr>
                <w:rFonts w:ascii="仿宋_GB2312" w:hAnsi="宋体" w:cs="宋体" w:hint="eastAsia"/>
                <w:kern w:val="0"/>
                <w:sz w:val="21"/>
                <w:szCs w:val="21"/>
              </w:rPr>
              <w:t>每年落实电网建设配套资金100万元，专门用于解决电网建设征地、拆迁、青赔的资金缺口，并制定资金使用管理办法，规范使用</w:t>
            </w:r>
          </w:p>
        </w:tc>
        <w:tc>
          <w:tcPr>
            <w:tcW w:w="820" w:type="dxa"/>
            <w:tcBorders>
              <w:top w:val="nil"/>
              <w:left w:val="nil"/>
              <w:bottom w:val="single" w:sz="4" w:space="0" w:color="auto"/>
              <w:right w:val="single" w:sz="4" w:space="0" w:color="auto"/>
            </w:tcBorders>
            <w:vAlign w:val="center"/>
          </w:tcPr>
          <w:p w:rsidR="00A338C9" w:rsidRDefault="00A338C9" w:rsidP="000C4F31">
            <w:pPr>
              <w:widowControl/>
              <w:spacing w:line="320" w:lineRule="exact"/>
              <w:jc w:val="center"/>
              <w:rPr>
                <w:rFonts w:ascii="仿宋_GB2312" w:hAnsi="宋体" w:cs="宋体" w:hint="eastAsia"/>
                <w:kern w:val="0"/>
                <w:sz w:val="21"/>
                <w:szCs w:val="21"/>
              </w:rPr>
            </w:pPr>
            <w:r>
              <w:rPr>
                <w:rFonts w:ascii="仿宋_GB2312" w:hAnsi="宋体" w:cs="宋体" w:hint="eastAsia"/>
                <w:kern w:val="0"/>
                <w:sz w:val="21"/>
                <w:szCs w:val="21"/>
              </w:rPr>
              <w:t>5</w:t>
            </w:r>
          </w:p>
        </w:tc>
        <w:tc>
          <w:tcPr>
            <w:tcW w:w="6369"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20" w:lineRule="exact"/>
              <w:rPr>
                <w:rFonts w:ascii="仿宋_GB2312" w:hAnsi="宋体" w:cs="宋体" w:hint="eastAsia"/>
                <w:kern w:val="0"/>
                <w:sz w:val="21"/>
                <w:szCs w:val="21"/>
              </w:rPr>
            </w:pPr>
            <w:r>
              <w:rPr>
                <w:rFonts w:ascii="仿宋_GB2312" w:hAnsi="宋体" w:cs="宋体" w:hint="eastAsia"/>
                <w:kern w:val="0"/>
                <w:sz w:val="21"/>
                <w:szCs w:val="21"/>
              </w:rPr>
              <w:t>检查资金到位情况，未到位的不得分，未专款专用的按比例扣分；未制订资金使用管理办法的扣</w:t>
            </w:r>
            <w:r>
              <w:rPr>
                <w:rFonts w:ascii="仿宋_GB2312" w:hint="eastAsia"/>
                <w:kern w:val="0"/>
                <w:sz w:val="21"/>
                <w:szCs w:val="21"/>
              </w:rPr>
              <w:t>2</w:t>
            </w:r>
            <w:r>
              <w:rPr>
                <w:rFonts w:ascii="仿宋_GB2312" w:hAnsi="宋体" w:cs="宋体" w:hint="eastAsia"/>
                <w:kern w:val="0"/>
                <w:sz w:val="21"/>
                <w:szCs w:val="21"/>
              </w:rPr>
              <w:t>分。</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c>
          <w:tcPr>
            <w:tcW w:w="1089" w:type="dxa"/>
            <w:gridSpan w:val="2"/>
            <w:tcBorders>
              <w:top w:val="nil"/>
              <w:left w:val="nil"/>
              <w:bottom w:val="single" w:sz="4" w:space="0" w:color="auto"/>
              <w:right w:val="single" w:sz="4" w:space="0" w:color="auto"/>
            </w:tcBorders>
            <w:vAlign w:val="center"/>
          </w:tcPr>
          <w:p w:rsidR="00A338C9" w:rsidRDefault="00A338C9" w:rsidP="000C4F31">
            <w:pPr>
              <w:widowControl/>
              <w:spacing w:line="320" w:lineRule="exact"/>
              <w:jc w:val="left"/>
              <w:rPr>
                <w:rFonts w:ascii="仿宋_GB2312" w:hAnsi="宋体" w:cs="宋体" w:hint="eastAsia"/>
                <w:kern w:val="0"/>
                <w:sz w:val="24"/>
              </w:rPr>
            </w:pPr>
            <w:r>
              <w:rPr>
                <w:rFonts w:ascii="仿宋_GB2312" w:hAnsi="宋体" w:cs="宋体" w:hint="eastAsia"/>
                <w:kern w:val="0"/>
                <w:sz w:val="24"/>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97"/>
        </w:trPr>
        <w:tc>
          <w:tcPr>
            <w:tcW w:w="14920" w:type="dxa"/>
            <w:gridSpan w:val="12"/>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left"/>
              <w:rPr>
                <w:rFonts w:ascii="黑体" w:eastAsia="黑体" w:hAnsi="黑体" w:cs="宋体"/>
                <w:kern w:val="0"/>
                <w:sz w:val="24"/>
                <w:szCs w:val="20"/>
              </w:rPr>
            </w:pPr>
            <w:r>
              <w:rPr>
                <w:rFonts w:ascii="黑体" w:eastAsia="黑体" w:hAnsi="黑体" w:cs="宋体" w:hint="eastAsia"/>
                <w:kern w:val="0"/>
                <w:sz w:val="24"/>
              </w:rPr>
              <w:lastRenderedPageBreak/>
              <w:t>二、电网建设投资完成情况（70分）</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82"/>
        </w:trPr>
        <w:tc>
          <w:tcPr>
            <w:tcW w:w="948" w:type="dxa"/>
            <w:gridSpan w:val="2"/>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center"/>
              <w:rPr>
                <w:rFonts w:ascii="黑体" w:eastAsia="黑体" w:hAnsi="黑体" w:cs="宋体"/>
                <w:kern w:val="0"/>
                <w:sz w:val="21"/>
                <w:szCs w:val="21"/>
              </w:rPr>
            </w:pPr>
            <w:r>
              <w:rPr>
                <w:rFonts w:ascii="黑体" w:eastAsia="黑体" w:hAnsi="黑体" w:cs="宋体" w:hint="eastAsia"/>
                <w:kern w:val="0"/>
                <w:sz w:val="21"/>
                <w:szCs w:val="21"/>
              </w:rPr>
              <w:t>序号</w:t>
            </w:r>
          </w:p>
        </w:tc>
        <w:tc>
          <w:tcPr>
            <w:tcW w:w="2533" w:type="dxa"/>
            <w:tcBorders>
              <w:top w:val="single" w:sz="4" w:space="0" w:color="auto"/>
              <w:left w:val="nil"/>
              <w:bottom w:val="single" w:sz="4" w:space="0" w:color="auto"/>
              <w:right w:val="single" w:sz="4" w:space="0" w:color="auto"/>
            </w:tcBorders>
            <w:vAlign w:val="center"/>
          </w:tcPr>
          <w:p w:rsidR="00A338C9" w:rsidRDefault="00A338C9" w:rsidP="000C4F31">
            <w:pPr>
              <w:widowControl/>
              <w:jc w:val="center"/>
              <w:rPr>
                <w:rFonts w:ascii="黑体" w:eastAsia="黑体" w:hAnsi="黑体" w:cs="宋体"/>
                <w:kern w:val="0"/>
                <w:sz w:val="21"/>
                <w:szCs w:val="21"/>
              </w:rPr>
            </w:pPr>
            <w:r>
              <w:rPr>
                <w:rFonts w:ascii="黑体" w:eastAsia="黑体" w:hAnsi="黑体" w:cs="宋体" w:hint="eastAsia"/>
                <w:kern w:val="0"/>
                <w:sz w:val="21"/>
                <w:szCs w:val="21"/>
              </w:rPr>
              <w:t>年度计划完成情况</w:t>
            </w:r>
          </w:p>
        </w:tc>
        <w:tc>
          <w:tcPr>
            <w:tcW w:w="1001" w:type="dxa"/>
            <w:tcBorders>
              <w:top w:val="single" w:sz="4" w:space="0" w:color="auto"/>
              <w:left w:val="nil"/>
              <w:bottom w:val="single" w:sz="4" w:space="0" w:color="auto"/>
              <w:right w:val="single" w:sz="4" w:space="0" w:color="auto"/>
            </w:tcBorders>
            <w:vAlign w:val="center"/>
          </w:tcPr>
          <w:p w:rsidR="00A338C9" w:rsidRDefault="00A338C9" w:rsidP="000C4F31">
            <w:pPr>
              <w:widowControl/>
              <w:jc w:val="center"/>
              <w:rPr>
                <w:rFonts w:ascii="黑体" w:eastAsia="黑体" w:hAnsi="黑体" w:cs="宋体"/>
                <w:kern w:val="0"/>
                <w:sz w:val="21"/>
                <w:szCs w:val="21"/>
              </w:rPr>
            </w:pPr>
            <w:r>
              <w:rPr>
                <w:rFonts w:ascii="黑体" w:eastAsia="黑体" w:hAnsi="黑体" w:cs="宋体" w:hint="eastAsia"/>
                <w:kern w:val="0"/>
                <w:sz w:val="21"/>
                <w:szCs w:val="21"/>
              </w:rPr>
              <w:t>分值</w:t>
            </w:r>
          </w:p>
        </w:tc>
        <w:tc>
          <w:tcPr>
            <w:tcW w:w="7195" w:type="dxa"/>
            <w:gridSpan w:val="3"/>
            <w:tcBorders>
              <w:top w:val="single" w:sz="4" w:space="0" w:color="auto"/>
              <w:left w:val="nil"/>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评分标准</w:t>
            </w:r>
          </w:p>
        </w:tc>
        <w:tc>
          <w:tcPr>
            <w:tcW w:w="1074" w:type="dxa"/>
            <w:tcBorders>
              <w:top w:val="single" w:sz="4" w:space="0" w:color="auto"/>
              <w:left w:val="nil"/>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打分结果</w:t>
            </w:r>
          </w:p>
        </w:tc>
        <w:tc>
          <w:tcPr>
            <w:tcW w:w="1080" w:type="dxa"/>
            <w:gridSpan w:val="2"/>
            <w:tcBorders>
              <w:top w:val="single" w:sz="4" w:space="0" w:color="auto"/>
              <w:left w:val="nil"/>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完成情况简述</w:t>
            </w:r>
          </w:p>
        </w:tc>
        <w:tc>
          <w:tcPr>
            <w:tcW w:w="1089" w:type="dxa"/>
            <w:gridSpan w:val="2"/>
            <w:tcBorders>
              <w:top w:val="single" w:sz="4" w:space="0" w:color="auto"/>
              <w:left w:val="nil"/>
              <w:bottom w:val="single" w:sz="4" w:space="0" w:color="auto"/>
              <w:right w:val="single" w:sz="4" w:space="0" w:color="auto"/>
            </w:tcBorders>
            <w:vAlign w:val="center"/>
          </w:tcPr>
          <w:p w:rsidR="00A338C9" w:rsidRDefault="00A338C9" w:rsidP="000C4F31">
            <w:pPr>
              <w:widowControl/>
              <w:spacing w:line="360" w:lineRule="exact"/>
              <w:jc w:val="center"/>
              <w:rPr>
                <w:rFonts w:ascii="黑体" w:eastAsia="黑体" w:hAnsi="黑体" w:cs="宋体"/>
                <w:kern w:val="0"/>
                <w:sz w:val="21"/>
                <w:szCs w:val="21"/>
              </w:rPr>
            </w:pPr>
            <w:r>
              <w:rPr>
                <w:rFonts w:ascii="黑体" w:eastAsia="黑体" w:hAnsi="黑体" w:cs="宋体" w:hint="eastAsia"/>
                <w:kern w:val="0"/>
                <w:sz w:val="21"/>
                <w:szCs w:val="21"/>
              </w:rPr>
              <w:t>备注</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99"/>
        </w:trPr>
        <w:tc>
          <w:tcPr>
            <w:tcW w:w="948" w:type="dxa"/>
            <w:gridSpan w:val="2"/>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kern w:val="0"/>
                <w:sz w:val="21"/>
                <w:szCs w:val="21"/>
              </w:rPr>
            </w:pPr>
            <w:r>
              <w:rPr>
                <w:rFonts w:ascii="仿宋_GB2312" w:hAnsi="宋体" w:cs="宋体" w:hint="eastAsia"/>
                <w:kern w:val="0"/>
                <w:sz w:val="21"/>
                <w:szCs w:val="21"/>
              </w:rPr>
              <w:t>1</w:t>
            </w:r>
          </w:p>
        </w:tc>
        <w:tc>
          <w:tcPr>
            <w:tcW w:w="2533" w:type="dxa"/>
            <w:tcBorders>
              <w:top w:val="single" w:sz="4" w:space="0" w:color="auto"/>
              <w:left w:val="nil"/>
              <w:bottom w:val="single" w:sz="4" w:space="0" w:color="auto"/>
              <w:right w:val="single" w:sz="4" w:space="0" w:color="auto"/>
            </w:tcBorders>
            <w:vAlign w:val="center"/>
          </w:tcPr>
          <w:p w:rsidR="00A338C9" w:rsidRDefault="00A338C9" w:rsidP="000C4F31">
            <w:pPr>
              <w:widowControl/>
              <w:jc w:val="left"/>
              <w:rPr>
                <w:rFonts w:ascii="仿宋_GB2312" w:hAnsi="宋体" w:cs="宋体" w:hint="eastAsia"/>
                <w:kern w:val="0"/>
                <w:sz w:val="21"/>
                <w:szCs w:val="21"/>
              </w:rPr>
            </w:pPr>
            <w:r>
              <w:rPr>
                <w:rFonts w:ascii="仿宋_GB2312" w:hAnsi="宋体" w:cs="宋体" w:hint="eastAsia"/>
                <w:kern w:val="0"/>
                <w:sz w:val="21"/>
                <w:szCs w:val="21"/>
              </w:rPr>
              <w:t>35千伏及以上主网项目</w:t>
            </w:r>
          </w:p>
        </w:tc>
        <w:tc>
          <w:tcPr>
            <w:tcW w:w="1001" w:type="dxa"/>
            <w:tcBorders>
              <w:top w:val="single" w:sz="4" w:space="0" w:color="auto"/>
              <w:left w:val="nil"/>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kern w:val="0"/>
                <w:sz w:val="21"/>
                <w:szCs w:val="21"/>
              </w:rPr>
            </w:pPr>
            <w:r>
              <w:rPr>
                <w:rFonts w:ascii="仿宋_GB2312" w:hAnsi="宋体" w:cs="宋体" w:hint="eastAsia"/>
                <w:kern w:val="0"/>
                <w:sz w:val="21"/>
                <w:szCs w:val="21"/>
              </w:rPr>
              <w:t>40</w:t>
            </w:r>
          </w:p>
        </w:tc>
        <w:tc>
          <w:tcPr>
            <w:tcW w:w="7195" w:type="dxa"/>
            <w:gridSpan w:val="3"/>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spacing w:line="400" w:lineRule="exact"/>
              <w:jc w:val="left"/>
              <w:rPr>
                <w:rFonts w:ascii="仿宋_GB2312" w:hAnsi="宋体" w:cs="宋体" w:hint="eastAsia"/>
                <w:color w:val="000000"/>
                <w:kern w:val="0"/>
                <w:sz w:val="21"/>
                <w:szCs w:val="21"/>
              </w:rPr>
            </w:pPr>
            <w:r>
              <w:rPr>
                <w:rFonts w:ascii="仿宋_GB2312" w:hAnsi="宋体" w:cs="宋体" w:hint="eastAsia"/>
                <w:color w:val="000000"/>
                <w:kern w:val="0"/>
                <w:sz w:val="21"/>
                <w:szCs w:val="21"/>
              </w:rPr>
              <w:t>1.没有主网节点任务的，该项得分为24分。</w:t>
            </w:r>
            <w:r>
              <w:rPr>
                <w:rFonts w:ascii="仿宋_GB2312" w:hAnsi="宋体" w:cs="宋体" w:hint="eastAsia"/>
                <w:color w:val="000000"/>
                <w:kern w:val="0"/>
                <w:sz w:val="21"/>
                <w:szCs w:val="21"/>
              </w:rPr>
              <w:br/>
              <w:t>2.有节点任务的，按实际完成节点计算得分，考核包括过程考核和节点完成考核。</w:t>
            </w:r>
            <w:r>
              <w:rPr>
                <w:rFonts w:ascii="仿宋_GB2312" w:hAnsi="宋体" w:cs="宋体" w:hint="eastAsia"/>
                <w:color w:val="000000"/>
                <w:kern w:val="0"/>
                <w:sz w:val="21"/>
                <w:szCs w:val="21"/>
              </w:rPr>
              <w:br/>
              <w:t>单个节点分值=40分/该单位考核节点数。因青赔实施单位原因造成节点未及时完成的，超时1个月完成的节点扣单个节点分值的30%，超时2个月完成的节点扣单个节点分值的60%；超时3个月完成的单个节点不得分。</w:t>
            </w:r>
            <w:r>
              <w:rPr>
                <w:rFonts w:ascii="仿宋_GB2312" w:hAnsi="宋体" w:cs="宋体" w:hint="eastAsia"/>
                <w:color w:val="000000"/>
                <w:kern w:val="0"/>
                <w:sz w:val="21"/>
                <w:szCs w:val="21"/>
              </w:rPr>
              <w:br/>
              <w:t>3.考核节点数超过全市考核节点平均数的单位在本项得分的基础上乘以110%计算得分。</w:t>
            </w:r>
          </w:p>
        </w:tc>
        <w:tc>
          <w:tcPr>
            <w:tcW w:w="1074" w:type="dxa"/>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int="eastAsia"/>
                <w:kern w:val="0"/>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int="eastAsia"/>
                <w:kern w:val="0"/>
                <w:sz w:val="20"/>
                <w:szCs w:val="20"/>
              </w:rPr>
            </w:pPr>
          </w:p>
        </w:tc>
        <w:tc>
          <w:tcPr>
            <w:tcW w:w="1089" w:type="dxa"/>
            <w:gridSpan w:val="2"/>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int="eastAsia"/>
                <w:kern w:val="0"/>
                <w:sz w:val="20"/>
                <w:szCs w:val="20"/>
              </w:rPr>
            </w:pP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34"/>
        </w:trPr>
        <w:tc>
          <w:tcPr>
            <w:tcW w:w="948" w:type="dxa"/>
            <w:gridSpan w:val="2"/>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kern w:val="0"/>
                <w:sz w:val="21"/>
                <w:szCs w:val="21"/>
              </w:rPr>
            </w:pPr>
            <w:r>
              <w:rPr>
                <w:rFonts w:ascii="仿宋_GB2312" w:hAnsi="宋体" w:cs="宋体" w:hint="eastAsia"/>
                <w:kern w:val="0"/>
                <w:sz w:val="21"/>
                <w:szCs w:val="21"/>
              </w:rPr>
              <w:t>2</w:t>
            </w:r>
          </w:p>
        </w:tc>
        <w:tc>
          <w:tcPr>
            <w:tcW w:w="2533" w:type="dxa"/>
            <w:tcBorders>
              <w:top w:val="single" w:sz="4" w:space="0" w:color="auto"/>
              <w:left w:val="nil"/>
              <w:bottom w:val="single" w:sz="4" w:space="0" w:color="auto"/>
              <w:right w:val="single" w:sz="4" w:space="0" w:color="auto"/>
            </w:tcBorders>
            <w:vAlign w:val="center"/>
          </w:tcPr>
          <w:p w:rsidR="00A338C9" w:rsidRDefault="00A338C9" w:rsidP="000C4F31">
            <w:pPr>
              <w:widowControl/>
              <w:jc w:val="left"/>
              <w:rPr>
                <w:rFonts w:ascii="仿宋_GB2312" w:hAnsi="宋体" w:cs="宋体" w:hint="eastAsia"/>
                <w:kern w:val="0"/>
                <w:sz w:val="21"/>
                <w:szCs w:val="21"/>
              </w:rPr>
            </w:pPr>
            <w:r>
              <w:rPr>
                <w:rFonts w:ascii="仿宋_GB2312" w:hAnsi="宋体" w:cs="宋体" w:hint="eastAsia"/>
                <w:kern w:val="0"/>
                <w:sz w:val="21"/>
                <w:szCs w:val="21"/>
              </w:rPr>
              <w:t>10千伏及以下配网项目</w:t>
            </w:r>
          </w:p>
        </w:tc>
        <w:tc>
          <w:tcPr>
            <w:tcW w:w="1001" w:type="dxa"/>
            <w:tcBorders>
              <w:top w:val="single" w:sz="4" w:space="0" w:color="auto"/>
              <w:left w:val="nil"/>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kern w:val="0"/>
                <w:sz w:val="21"/>
                <w:szCs w:val="21"/>
              </w:rPr>
            </w:pPr>
            <w:r>
              <w:rPr>
                <w:rFonts w:ascii="仿宋_GB2312" w:hAnsi="宋体" w:cs="宋体" w:hint="eastAsia"/>
                <w:kern w:val="0"/>
                <w:sz w:val="21"/>
                <w:szCs w:val="21"/>
              </w:rPr>
              <w:t>30</w:t>
            </w:r>
          </w:p>
        </w:tc>
        <w:tc>
          <w:tcPr>
            <w:tcW w:w="7195" w:type="dxa"/>
            <w:gridSpan w:val="3"/>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rPr>
                <w:rFonts w:ascii="仿宋_GB2312" w:hAnsi="宋体" w:cs="宋体" w:hint="eastAsia"/>
                <w:kern w:val="0"/>
                <w:sz w:val="21"/>
                <w:szCs w:val="21"/>
              </w:rPr>
            </w:pPr>
            <w:r>
              <w:rPr>
                <w:rFonts w:ascii="仿宋_GB2312" w:hAnsi="宋体" w:cs="宋体" w:hint="eastAsia"/>
                <w:kern w:val="0"/>
                <w:sz w:val="21"/>
                <w:szCs w:val="21"/>
              </w:rPr>
              <w:t>完成投资</w:t>
            </w:r>
            <w:r>
              <w:rPr>
                <w:rFonts w:ascii="仿宋_GB2312" w:hint="eastAsia"/>
                <w:kern w:val="0"/>
                <w:sz w:val="21"/>
                <w:szCs w:val="21"/>
              </w:rPr>
              <w:t>80%</w:t>
            </w:r>
            <w:r>
              <w:rPr>
                <w:rFonts w:ascii="仿宋_GB2312" w:hAnsi="宋体" w:cs="宋体" w:hint="eastAsia"/>
                <w:kern w:val="0"/>
                <w:sz w:val="21"/>
                <w:szCs w:val="21"/>
              </w:rPr>
              <w:t>以上的按比例计算得分，</w:t>
            </w:r>
            <w:r>
              <w:rPr>
                <w:rFonts w:ascii="仿宋_GB2312" w:hint="eastAsia"/>
                <w:kern w:val="0"/>
                <w:sz w:val="21"/>
                <w:szCs w:val="21"/>
              </w:rPr>
              <w:t>80%</w:t>
            </w:r>
            <w:r>
              <w:rPr>
                <w:rFonts w:ascii="仿宋_GB2312" w:hAnsi="宋体" w:cs="宋体" w:hint="eastAsia"/>
                <w:kern w:val="0"/>
                <w:sz w:val="21"/>
                <w:szCs w:val="21"/>
              </w:rPr>
              <w:t>及以下不得分。</w:t>
            </w:r>
            <w:r>
              <w:rPr>
                <w:rFonts w:ascii="仿宋_GB2312" w:hint="eastAsia"/>
                <w:kern w:val="0"/>
                <w:sz w:val="21"/>
                <w:szCs w:val="21"/>
              </w:rPr>
              <w:t xml:space="preserve">       </w:t>
            </w:r>
          </w:p>
        </w:tc>
        <w:tc>
          <w:tcPr>
            <w:tcW w:w="1074" w:type="dxa"/>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Ansi="宋体" w:cs="宋体" w:hint="eastAsia"/>
                <w:kern w:val="0"/>
                <w:sz w:val="22"/>
                <w:szCs w:val="22"/>
              </w:rPr>
            </w:pPr>
            <w:r>
              <w:rPr>
                <w:rFonts w:ascii="仿宋_GB2312" w:hAnsi="宋体" w:cs="宋体" w:hint="eastAsia"/>
                <w:kern w:val="0"/>
                <w:sz w:val="22"/>
                <w:szCs w:val="22"/>
              </w:rPr>
              <w:t xml:space="preserve">　</w:t>
            </w:r>
          </w:p>
        </w:tc>
        <w:tc>
          <w:tcPr>
            <w:tcW w:w="1080" w:type="dxa"/>
            <w:gridSpan w:val="2"/>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Ansi="宋体" w:cs="宋体" w:hint="eastAsia"/>
                <w:kern w:val="0"/>
                <w:sz w:val="22"/>
                <w:szCs w:val="22"/>
              </w:rPr>
            </w:pPr>
            <w:r>
              <w:rPr>
                <w:rFonts w:ascii="仿宋_GB2312" w:hAnsi="宋体" w:cs="宋体" w:hint="eastAsia"/>
                <w:kern w:val="0"/>
                <w:sz w:val="22"/>
                <w:szCs w:val="22"/>
              </w:rPr>
              <w:t xml:space="preserve">　</w:t>
            </w:r>
          </w:p>
        </w:tc>
        <w:tc>
          <w:tcPr>
            <w:tcW w:w="1089" w:type="dxa"/>
            <w:gridSpan w:val="2"/>
            <w:tcBorders>
              <w:top w:val="single" w:sz="4" w:space="0" w:color="auto"/>
              <w:left w:val="single" w:sz="4" w:space="0" w:color="auto"/>
              <w:bottom w:val="single" w:sz="4" w:space="0" w:color="auto"/>
              <w:right w:val="single" w:sz="4" w:space="0" w:color="auto"/>
            </w:tcBorders>
          </w:tcPr>
          <w:p w:rsidR="00A338C9" w:rsidRDefault="00A338C9" w:rsidP="000C4F31">
            <w:pPr>
              <w:widowControl/>
              <w:jc w:val="left"/>
              <w:rPr>
                <w:rFonts w:ascii="仿宋_GB2312" w:hAnsi="宋体" w:cs="宋体" w:hint="eastAsia"/>
                <w:kern w:val="0"/>
                <w:sz w:val="22"/>
                <w:szCs w:val="22"/>
              </w:rPr>
            </w:pPr>
            <w:r>
              <w:rPr>
                <w:rFonts w:ascii="仿宋_GB2312" w:hAnsi="宋体" w:cs="宋体" w:hint="eastAsia"/>
                <w:kern w:val="0"/>
                <w:sz w:val="22"/>
                <w:szCs w:val="22"/>
              </w:rPr>
              <w:t xml:space="preserve">　</w:t>
            </w:r>
          </w:p>
        </w:tc>
      </w:tr>
      <w:tr w:rsidR="00A338C9" w:rsidTr="000C4F3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5"/>
        </w:trPr>
        <w:tc>
          <w:tcPr>
            <w:tcW w:w="3481" w:type="dxa"/>
            <w:gridSpan w:val="3"/>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b/>
                <w:bCs/>
                <w:kern w:val="0"/>
                <w:sz w:val="22"/>
                <w:szCs w:val="22"/>
              </w:rPr>
            </w:pPr>
            <w:r>
              <w:rPr>
                <w:rFonts w:ascii="仿宋_GB2312" w:hAnsi="宋体" w:cs="宋体" w:hint="eastAsia"/>
                <w:b/>
                <w:bCs/>
                <w:kern w:val="0"/>
                <w:sz w:val="22"/>
                <w:szCs w:val="22"/>
              </w:rPr>
              <w:t>总分合计</w:t>
            </w:r>
          </w:p>
        </w:tc>
        <w:tc>
          <w:tcPr>
            <w:tcW w:w="1001" w:type="dxa"/>
            <w:tcBorders>
              <w:top w:val="single" w:sz="4" w:space="0" w:color="auto"/>
              <w:left w:val="single" w:sz="4" w:space="0" w:color="auto"/>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b/>
                <w:bCs/>
                <w:kern w:val="0"/>
                <w:sz w:val="22"/>
                <w:szCs w:val="22"/>
              </w:rPr>
            </w:pPr>
          </w:p>
        </w:tc>
        <w:tc>
          <w:tcPr>
            <w:tcW w:w="7195" w:type="dxa"/>
            <w:gridSpan w:val="3"/>
            <w:tcBorders>
              <w:top w:val="single" w:sz="4" w:space="0" w:color="auto"/>
              <w:left w:val="nil"/>
              <w:bottom w:val="single" w:sz="4" w:space="0" w:color="auto"/>
              <w:right w:val="single" w:sz="4" w:space="0" w:color="auto"/>
            </w:tcBorders>
            <w:vAlign w:val="center"/>
          </w:tcPr>
          <w:p w:rsidR="00A338C9" w:rsidRDefault="00A338C9" w:rsidP="000C4F31">
            <w:pPr>
              <w:widowControl/>
              <w:jc w:val="center"/>
              <w:rPr>
                <w:rFonts w:ascii="仿宋_GB2312" w:hAnsi="宋体" w:cs="宋体" w:hint="eastAsia"/>
                <w:b/>
                <w:bCs/>
                <w:kern w:val="0"/>
                <w:sz w:val="22"/>
                <w:szCs w:val="22"/>
              </w:rPr>
            </w:pPr>
            <w:r>
              <w:rPr>
                <w:rFonts w:ascii="仿宋_GB2312" w:hAnsi="宋体" w:cs="宋体" w:hint="eastAsia"/>
                <w:b/>
                <w:bCs/>
                <w:kern w:val="0"/>
                <w:sz w:val="22"/>
                <w:szCs w:val="22"/>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A338C9" w:rsidRDefault="00A338C9" w:rsidP="000C4F31">
            <w:pPr>
              <w:widowControl/>
              <w:jc w:val="left"/>
              <w:rPr>
                <w:rFonts w:ascii="仿宋_GB2312" w:hAnsi="宋体" w:cs="宋体" w:hint="eastAsia"/>
                <w:b/>
                <w:bCs/>
                <w:kern w:val="0"/>
                <w:sz w:val="22"/>
                <w:szCs w:val="22"/>
              </w:rPr>
            </w:pPr>
            <w:r>
              <w:rPr>
                <w:rFonts w:ascii="仿宋_GB2312" w:hAnsi="宋体" w:cs="宋体" w:hint="eastAsia"/>
                <w:b/>
                <w:bCs/>
                <w:kern w:val="0"/>
                <w:sz w:val="22"/>
                <w:szCs w:val="22"/>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A338C9" w:rsidRDefault="00A338C9" w:rsidP="000C4F31">
            <w:pPr>
              <w:widowControl/>
              <w:jc w:val="left"/>
              <w:rPr>
                <w:rFonts w:ascii="仿宋_GB2312" w:hAnsi="宋体" w:cs="宋体" w:hint="eastAsia"/>
                <w:b/>
                <w:bCs/>
                <w:kern w:val="0"/>
                <w:sz w:val="22"/>
                <w:szCs w:val="22"/>
              </w:rPr>
            </w:pPr>
            <w:r>
              <w:rPr>
                <w:rFonts w:ascii="仿宋_GB2312" w:hAnsi="宋体" w:cs="宋体" w:hint="eastAsia"/>
                <w:b/>
                <w:bCs/>
                <w:kern w:val="0"/>
                <w:sz w:val="22"/>
                <w:szCs w:val="22"/>
              </w:rPr>
              <w:t xml:space="preserve">　</w:t>
            </w:r>
          </w:p>
        </w:tc>
        <w:tc>
          <w:tcPr>
            <w:tcW w:w="1083" w:type="dxa"/>
            <w:tcBorders>
              <w:top w:val="single" w:sz="4" w:space="0" w:color="auto"/>
              <w:left w:val="nil"/>
              <w:bottom w:val="single" w:sz="4" w:space="0" w:color="auto"/>
              <w:right w:val="single" w:sz="4" w:space="0" w:color="auto"/>
            </w:tcBorders>
            <w:vAlign w:val="center"/>
          </w:tcPr>
          <w:p w:rsidR="00A338C9" w:rsidRDefault="00A338C9" w:rsidP="000C4F31">
            <w:pPr>
              <w:widowControl/>
              <w:jc w:val="left"/>
              <w:rPr>
                <w:rFonts w:ascii="仿宋_GB2312" w:hAnsi="宋体" w:cs="宋体" w:hint="eastAsia"/>
                <w:b/>
                <w:bCs/>
                <w:kern w:val="0"/>
                <w:sz w:val="22"/>
                <w:szCs w:val="22"/>
              </w:rPr>
            </w:pPr>
            <w:r>
              <w:rPr>
                <w:rFonts w:ascii="仿宋_GB2312" w:hAnsi="宋体" w:cs="宋体" w:hint="eastAsia"/>
                <w:b/>
                <w:bCs/>
                <w:kern w:val="0"/>
                <w:sz w:val="22"/>
                <w:szCs w:val="22"/>
              </w:rPr>
              <w:t xml:space="preserve">　</w:t>
            </w:r>
          </w:p>
        </w:tc>
      </w:tr>
    </w:tbl>
    <w:p w:rsidR="00A338C9" w:rsidRDefault="00A338C9" w:rsidP="00A338C9">
      <w:pPr>
        <w:spacing w:line="100" w:lineRule="exact"/>
        <w:jc w:val="center"/>
        <w:rPr>
          <w:rFonts w:ascii="仿宋_GB2312" w:hint="eastAsia"/>
        </w:rPr>
      </w:pPr>
    </w:p>
    <w:p w:rsidR="00D96B11" w:rsidRDefault="00D96B11"/>
    <w:sectPr w:rsidR="00D96B11">
      <w:footerReference w:type="even" r:id="rId6"/>
      <w:footerReference w:type="default" r:id="rId7"/>
      <w:pgSz w:w="16838" w:h="11906" w:orient="landscape"/>
      <w:pgMar w:top="1531" w:right="1531" w:bottom="1531" w:left="2098" w:header="0" w:footer="1191" w:gutter="0"/>
      <w:cols w:space="720"/>
      <w:docGrid w:type="linesAndChars" w:linePitch="631"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B11" w:rsidRDefault="00D96B11" w:rsidP="00A338C9">
      <w:r>
        <w:separator/>
      </w:r>
    </w:p>
  </w:endnote>
  <w:endnote w:type="continuationSeparator" w:id="1">
    <w:p w:rsidR="00D96B11" w:rsidRDefault="00D96B11" w:rsidP="00A33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Times New Roman"/>
    <w:charset w:val="7A"/>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EE" w:rsidRDefault="00D96B11">
    <w:pPr>
      <w:pStyle w:val="a4"/>
      <w:framePr w:wrap="around" w:vAnchor="text" w:hAnchor="margin" w:xAlign="outside" w:y="1"/>
      <w:rPr>
        <w:rStyle w:val="a5"/>
      </w:rPr>
    </w:pPr>
    <w:r>
      <w:fldChar w:fldCharType="begin"/>
    </w:r>
    <w:r>
      <w:rPr>
        <w:rStyle w:val="a5"/>
      </w:rPr>
      <w:instrText xml:space="preserve">PAGE  </w:instrText>
    </w:r>
    <w:r>
      <w:fldChar w:fldCharType="separate"/>
    </w:r>
    <w:r>
      <w:fldChar w:fldCharType="end"/>
    </w:r>
  </w:p>
  <w:p w:rsidR="008131EE" w:rsidRDefault="00D96B1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EE" w:rsidRDefault="00D96B11">
    <w:pPr>
      <w:pStyle w:val="a4"/>
      <w:framePr w:wrap="around" w:vAnchor="text" w:hAnchor="margin" w:xAlign="outside" w:y="1"/>
      <w:rPr>
        <w:rStyle w:val="a5"/>
        <w:rFonts w:hint="eastAsia"/>
        <w:sz w:val="28"/>
      </w:rPr>
    </w:pPr>
    <w:r>
      <w:rPr>
        <w:rStyle w:val="a5"/>
        <w:rFonts w:hint="eastAsia"/>
        <w:sz w:val="28"/>
      </w:rPr>
      <w:t>—</w:t>
    </w:r>
    <w:r>
      <w:rPr>
        <w:rStyle w:val="a5"/>
        <w:rFonts w:hint="eastAsia"/>
        <w:sz w:val="28"/>
      </w:rPr>
      <w:t xml:space="preserve"> </w:t>
    </w:r>
    <w:r>
      <w:rPr>
        <w:sz w:val="28"/>
      </w:rPr>
      <w:fldChar w:fldCharType="begin"/>
    </w:r>
    <w:r>
      <w:rPr>
        <w:rStyle w:val="a5"/>
        <w:sz w:val="28"/>
      </w:rPr>
      <w:instrText xml:space="preserve">PAGE  </w:instrText>
    </w:r>
    <w:r>
      <w:rPr>
        <w:sz w:val="28"/>
      </w:rPr>
      <w:fldChar w:fldCharType="separate"/>
    </w:r>
    <w:r w:rsidR="00A338C9">
      <w:rPr>
        <w:rStyle w:val="a5"/>
        <w:noProof/>
        <w:sz w:val="28"/>
      </w:rPr>
      <w:t>1</w:t>
    </w:r>
    <w:r>
      <w:rPr>
        <w:sz w:val="28"/>
      </w:rPr>
      <w:fldChar w:fldCharType="end"/>
    </w:r>
    <w:r>
      <w:rPr>
        <w:rStyle w:val="a5"/>
        <w:rFonts w:hint="eastAsia"/>
        <w:sz w:val="28"/>
      </w:rPr>
      <w:t xml:space="preserve"> </w:t>
    </w:r>
    <w:r>
      <w:rPr>
        <w:rStyle w:val="a5"/>
        <w:rFonts w:hint="eastAsia"/>
        <w:sz w:val="28"/>
      </w:rPr>
      <w:t>—</w:t>
    </w:r>
  </w:p>
  <w:p w:rsidR="008131EE" w:rsidRDefault="00D96B11">
    <w:pPr>
      <w:pStyle w:val="a4"/>
      <w:ind w:right="360" w:firstLine="360"/>
      <w:rPr>
        <w:rFonts w:hint="eastAsia"/>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B11" w:rsidRDefault="00D96B11" w:rsidP="00A338C9">
      <w:r>
        <w:separator/>
      </w:r>
    </w:p>
  </w:footnote>
  <w:footnote w:type="continuationSeparator" w:id="1">
    <w:p w:rsidR="00D96B11" w:rsidRDefault="00D96B11" w:rsidP="00A33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38C9"/>
    <w:rsid w:val="00A338C9"/>
    <w:rsid w:val="00D96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8C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38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338C9"/>
    <w:rPr>
      <w:sz w:val="18"/>
      <w:szCs w:val="18"/>
    </w:rPr>
  </w:style>
  <w:style w:type="paragraph" w:styleId="a4">
    <w:name w:val="footer"/>
    <w:basedOn w:val="a"/>
    <w:link w:val="Char0"/>
    <w:unhideWhenUsed/>
    <w:rsid w:val="00A338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338C9"/>
    <w:rPr>
      <w:sz w:val="18"/>
      <w:szCs w:val="18"/>
    </w:rPr>
  </w:style>
  <w:style w:type="character" w:styleId="a5">
    <w:name w:val="page number"/>
    <w:basedOn w:val="a0"/>
    <w:rsid w:val="00A33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2018-04-10T03:02:00Z</dcterms:created>
  <dcterms:modified xsi:type="dcterms:W3CDTF">2018-04-10T03:02:00Z</dcterms:modified>
</cp:coreProperties>
</file>